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D3C3FB" w14:textId="77777777" w:rsidR="0073792C" w:rsidRDefault="0073792C">
      <w:pPr>
        <w:spacing w:after="200" w:line="276" w:lineRule="auto"/>
      </w:pPr>
    </w:p>
    <w:tbl>
      <w:tblPr>
        <w:tblW w:w="5027" w:type="pct"/>
        <w:jc w:val="center"/>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CellMar>
          <w:left w:w="50" w:type="dxa"/>
          <w:right w:w="70" w:type="dxa"/>
        </w:tblCellMar>
        <w:tblLook w:val="04A0" w:firstRow="1" w:lastRow="0" w:firstColumn="1" w:lastColumn="0" w:noHBand="0" w:noVBand="1"/>
      </w:tblPr>
      <w:tblGrid>
        <w:gridCol w:w="404"/>
        <w:gridCol w:w="1466"/>
        <w:gridCol w:w="2462"/>
        <w:gridCol w:w="666"/>
        <w:gridCol w:w="587"/>
        <w:gridCol w:w="678"/>
        <w:gridCol w:w="2815"/>
        <w:gridCol w:w="2699"/>
        <w:gridCol w:w="2567"/>
      </w:tblGrid>
      <w:tr w:rsidR="00C7161D" w14:paraId="3CCC11A5" w14:textId="77777777" w:rsidTr="008F052C">
        <w:trPr>
          <w:jc w:val="center"/>
        </w:trPr>
        <w:tc>
          <w:tcPr>
            <w:tcW w:w="11879" w:type="dxa"/>
            <w:gridSpan w:val="8"/>
            <w:tcBorders>
              <w:top w:val="single" w:sz="8" w:space="0" w:color="00000A"/>
              <w:left w:val="single" w:sz="8" w:space="0" w:color="00000A"/>
              <w:bottom w:val="single" w:sz="8" w:space="0" w:color="00000A"/>
              <w:right w:val="single" w:sz="8" w:space="0" w:color="00000A"/>
            </w:tcBorders>
            <w:shd w:val="clear" w:color="auto" w:fill="000080"/>
            <w:tcMar>
              <w:left w:w="50" w:type="dxa"/>
            </w:tcMar>
          </w:tcPr>
          <w:p w14:paraId="4F125344" w14:textId="77777777" w:rsidR="00C7161D" w:rsidRPr="00EC46B6" w:rsidRDefault="00C7161D" w:rsidP="008F052C">
            <w:pPr>
              <w:tabs>
                <w:tab w:val="left" w:pos="709"/>
              </w:tabs>
              <w:overflowPunct w:val="0"/>
              <w:jc w:val="center"/>
              <w:rPr>
                <w:rFonts w:ascii="Tahoma" w:hAnsi="Tahoma" w:cs="Tahoma"/>
                <w:b/>
                <w:color w:val="FFFFFF" w:themeColor="background1"/>
                <w:sz w:val="28"/>
                <w:szCs w:val="28"/>
              </w:rPr>
            </w:pPr>
            <w:r w:rsidRPr="00EC46B6">
              <w:rPr>
                <w:rFonts w:ascii="Verdana" w:hAnsi="Verdana"/>
                <w:color w:val="FFFFFF" w:themeColor="background1"/>
                <w:sz w:val="22"/>
                <w:szCs w:val="22"/>
              </w:rPr>
              <w:tab/>
            </w:r>
            <w:r w:rsidRPr="00EC46B6">
              <w:rPr>
                <w:rFonts w:ascii="Tahoma" w:hAnsi="Tahoma" w:cs="Tahoma"/>
                <w:b/>
                <w:color w:val="FFFFFF" w:themeColor="background1"/>
                <w:sz w:val="28"/>
                <w:szCs w:val="28"/>
              </w:rPr>
              <w:t xml:space="preserve">UFFICIO UNICO TRIBUTI    </w:t>
            </w:r>
          </w:p>
          <w:p w14:paraId="0D1144CD" w14:textId="77777777" w:rsidR="00C7161D" w:rsidRDefault="00C7161D" w:rsidP="008F052C">
            <w:pPr>
              <w:tabs>
                <w:tab w:val="left" w:pos="709"/>
              </w:tabs>
              <w:overflowPunct w:val="0"/>
              <w:jc w:val="center"/>
              <w:rPr>
                <w:rFonts w:ascii="Tahoma" w:hAnsi="Tahoma" w:cs="Tahoma"/>
                <w:b/>
                <w:color w:val="FFFFFF" w:themeColor="background1"/>
                <w:sz w:val="28"/>
                <w:szCs w:val="28"/>
              </w:rPr>
            </w:pPr>
            <w:r w:rsidRPr="00EC46B6">
              <w:rPr>
                <w:rFonts w:ascii="Tahoma" w:hAnsi="Tahoma" w:cs="Tahoma"/>
                <w:b/>
                <w:color w:val="FFFFFF" w:themeColor="background1"/>
                <w:sz w:val="28"/>
                <w:szCs w:val="28"/>
              </w:rPr>
              <w:t>QUADRO COMPLESSIVO DEGLI</w:t>
            </w:r>
            <w:r w:rsidRPr="00EC46B6">
              <w:rPr>
                <w:rFonts w:ascii="Tahoma" w:hAnsi="Tahoma" w:cs="Tahoma"/>
                <w:b/>
                <w:color w:val="FFFFFF" w:themeColor="background1"/>
                <w:sz w:val="20"/>
                <w:szCs w:val="20"/>
              </w:rPr>
              <w:t xml:space="preserve"> </w:t>
            </w:r>
            <w:r>
              <w:rPr>
                <w:rFonts w:ascii="Tahoma" w:hAnsi="Tahoma" w:cs="Tahoma"/>
                <w:b/>
                <w:color w:val="FFFFFF" w:themeColor="background1"/>
                <w:sz w:val="28"/>
                <w:szCs w:val="28"/>
              </w:rPr>
              <w:t>OBIETTIVI 2020</w:t>
            </w:r>
            <w:r w:rsidRPr="00EC46B6">
              <w:rPr>
                <w:rFonts w:ascii="Tahoma" w:hAnsi="Tahoma" w:cs="Tahoma"/>
                <w:b/>
                <w:color w:val="FFFFFF" w:themeColor="background1"/>
                <w:sz w:val="28"/>
                <w:szCs w:val="28"/>
              </w:rPr>
              <w:t xml:space="preserve"> </w:t>
            </w:r>
          </w:p>
          <w:p w14:paraId="6A8931EE" w14:textId="77777777" w:rsidR="00C7161D" w:rsidRPr="004B0D4E" w:rsidRDefault="00C7161D" w:rsidP="00C7161D">
            <w:pPr>
              <w:tabs>
                <w:tab w:val="left" w:pos="709"/>
              </w:tabs>
              <w:overflowPunct w:val="0"/>
              <w:autoSpaceDE w:val="0"/>
              <w:autoSpaceDN w:val="0"/>
              <w:adjustRightInd w:val="0"/>
              <w:jc w:val="center"/>
              <w:rPr>
                <w:rFonts w:ascii="Tahoma" w:hAnsi="Tahoma" w:cs="Tahoma"/>
                <w:b/>
                <w:sz w:val="20"/>
                <w:szCs w:val="20"/>
              </w:rPr>
            </w:pPr>
            <w:r>
              <w:rPr>
                <w:rFonts w:ascii="Tahoma" w:hAnsi="Tahoma" w:cs="Tahoma"/>
                <w:b/>
                <w:sz w:val="20"/>
                <w:szCs w:val="20"/>
              </w:rPr>
              <w:t>VARIAZIONE SETTEMBRE 2020 – POST EMERGENZA EPIDEMIOLOGICA COVID 2019</w:t>
            </w:r>
          </w:p>
          <w:p w14:paraId="2C4D5FEA" w14:textId="77777777" w:rsidR="00C7161D" w:rsidRPr="00EC46B6" w:rsidRDefault="00C7161D" w:rsidP="008F052C">
            <w:pPr>
              <w:tabs>
                <w:tab w:val="left" w:pos="709"/>
              </w:tabs>
              <w:overflowPunct w:val="0"/>
              <w:jc w:val="center"/>
              <w:rPr>
                <w:rFonts w:ascii="Tahoma" w:hAnsi="Tahoma" w:cs="Tahoma"/>
                <w:b/>
                <w:color w:val="FFFFFF" w:themeColor="background1"/>
                <w:sz w:val="28"/>
                <w:szCs w:val="28"/>
              </w:rPr>
            </w:pPr>
          </w:p>
          <w:p w14:paraId="2F654F6D" w14:textId="77777777" w:rsidR="00C7161D" w:rsidRDefault="00C7161D" w:rsidP="008F052C">
            <w:pPr>
              <w:tabs>
                <w:tab w:val="left" w:pos="709"/>
              </w:tabs>
              <w:overflowPunct w:val="0"/>
              <w:jc w:val="center"/>
              <w:rPr>
                <w:rFonts w:ascii="Tahoma" w:hAnsi="Tahoma" w:cs="Tahoma"/>
                <w:sz w:val="28"/>
                <w:szCs w:val="28"/>
              </w:rPr>
            </w:pPr>
            <w:r w:rsidRPr="00EC46B6">
              <w:rPr>
                <w:rFonts w:ascii="Tahoma" w:hAnsi="Tahoma" w:cs="Tahoma"/>
                <w:b/>
                <w:color w:val="FFFFFF" w:themeColor="background1"/>
                <w:sz w:val="28"/>
                <w:szCs w:val="28"/>
              </w:rPr>
              <w:t xml:space="preserve">GIACOMO SPATAZZA   </w:t>
            </w:r>
          </w:p>
        </w:tc>
        <w:tc>
          <w:tcPr>
            <w:tcW w:w="2606" w:type="dxa"/>
            <w:tcBorders>
              <w:top w:val="single" w:sz="8" w:space="0" w:color="00000A"/>
              <w:left w:val="single" w:sz="8" w:space="0" w:color="00000A"/>
              <w:bottom w:val="single" w:sz="8" w:space="0" w:color="00000A"/>
              <w:right w:val="single" w:sz="8" w:space="0" w:color="00000A"/>
            </w:tcBorders>
            <w:shd w:val="clear" w:color="auto" w:fill="000080"/>
            <w:tcMar>
              <w:left w:w="50" w:type="dxa"/>
            </w:tcMar>
          </w:tcPr>
          <w:p w14:paraId="5CA4E402" w14:textId="77777777" w:rsidR="00C7161D" w:rsidRDefault="00C7161D" w:rsidP="008F052C">
            <w:pPr>
              <w:tabs>
                <w:tab w:val="left" w:pos="709"/>
              </w:tabs>
              <w:overflowPunct w:val="0"/>
              <w:jc w:val="center"/>
              <w:rPr>
                <w:rFonts w:ascii="Verdana" w:hAnsi="Verdana"/>
              </w:rPr>
            </w:pPr>
          </w:p>
        </w:tc>
      </w:tr>
      <w:tr w:rsidR="00C7161D" w14:paraId="04EA4311" w14:textId="77777777" w:rsidTr="008F052C">
        <w:trPr>
          <w:jc w:val="center"/>
        </w:trPr>
        <w:tc>
          <w:tcPr>
            <w:tcW w:w="11879" w:type="dxa"/>
            <w:gridSpan w:val="8"/>
            <w:tcBorders>
              <w:top w:val="single" w:sz="8" w:space="0" w:color="00000A"/>
              <w:left w:val="single" w:sz="8" w:space="0" w:color="00000A"/>
              <w:bottom w:val="single" w:sz="8" w:space="0" w:color="00000A"/>
              <w:right w:val="single" w:sz="8" w:space="0" w:color="00000A"/>
            </w:tcBorders>
            <w:shd w:val="clear" w:color="auto" w:fill="auto"/>
            <w:tcMar>
              <w:left w:w="50" w:type="dxa"/>
            </w:tcMar>
          </w:tcPr>
          <w:p w14:paraId="7BCDB683" w14:textId="77777777" w:rsidR="00C7161D" w:rsidRDefault="00C7161D" w:rsidP="008F052C">
            <w:pPr>
              <w:tabs>
                <w:tab w:val="left" w:pos="709"/>
              </w:tabs>
              <w:overflowPunct w:val="0"/>
              <w:jc w:val="center"/>
              <w:rPr>
                <w:rFonts w:ascii="Tahoma" w:hAnsi="Tahoma" w:cs="Tahoma"/>
                <w:sz w:val="20"/>
                <w:szCs w:val="20"/>
              </w:rPr>
            </w:pPr>
          </w:p>
          <w:p w14:paraId="1DDFBC0C" w14:textId="77777777" w:rsidR="00C7161D" w:rsidRDefault="00C7161D" w:rsidP="008F052C">
            <w:pPr>
              <w:tabs>
                <w:tab w:val="left" w:pos="709"/>
              </w:tabs>
              <w:overflowPunct w:val="0"/>
              <w:jc w:val="center"/>
              <w:rPr>
                <w:rFonts w:ascii="Tahoma" w:hAnsi="Tahoma" w:cs="Tahoma"/>
                <w:b/>
              </w:rPr>
            </w:pPr>
            <w:r>
              <w:rPr>
                <w:rFonts w:ascii="Tahoma" w:hAnsi="Tahoma" w:cs="Tahoma"/>
                <w:b/>
                <w:sz w:val="22"/>
                <w:szCs w:val="22"/>
              </w:rPr>
              <w:t xml:space="preserve">Quadro introduttivo </w:t>
            </w:r>
          </w:p>
          <w:p w14:paraId="2B3DE6F6" w14:textId="77777777" w:rsidR="00C7161D" w:rsidRDefault="00C7161D" w:rsidP="008F052C">
            <w:pPr>
              <w:tabs>
                <w:tab w:val="left" w:pos="567"/>
                <w:tab w:val="left" w:pos="709"/>
              </w:tabs>
              <w:jc w:val="both"/>
              <w:rPr>
                <w:rFonts w:ascii="Tahoma" w:hAnsi="Tahoma" w:cs="Tahoma"/>
                <w:sz w:val="20"/>
              </w:rPr>
            </w:pPr>
            <w:r>
              <w:rPr>
                <w:rFonts w:ascii="Tahoma" w:hAnsi="Tahoma" w:cs="Tahoma"/>
                <w:sz w:val="20"/>
              </w:rPr>
              <w:t>Alla data del 01/01/2020 il personale dell’Ufficio Unico dei Tributi è costituito dal responsabile del Servizio Tributi e da undici figure, tutte dipendenti a tempo indeterminato dell’Unione Bassa Reggiana, di cui quattro inquadrate in categoria D e sette in categoria C.</w:t>
            </w:r>
          </w:p>
          <w:p w14:paraId="00D2339A" w14:textId="77777777" w:rsidR="00C7161D" w:rsidRDefault="00C7161D" w:rsidP="008F052C">
            <w:pPr>
              <w:tabs>
                <w:tab w:val="left" w:pos="567"/>
                <w:tab w:val="left" w:pos="709"/>
              </w:tabs>
              <w:jc w:val="both"/>
              <w:rPr>
                <w:rFonts w:ascii="Tahoma" w:hAnsi="Tahoma" w:cs="Tahoma"/>
                <w:sz w:val="20"/>
              </w:rPr>
            </w:pPr>
            <w:r>
              <w:rPr>
                <w:rFonts w:ascii="Tahoma" w:hAnsi="Tahoma" w:cs="Tahoma"/>
                <w:sz w:val="20"/>
              </w:rPr>
              <w:t xml:space="preserve">Per quanto riguarda la tassa rifiuti (TARI), i Comuni di Luzzara, Novellara e Poviglio hanno affidato la gestione amministrativa a Sabar </w:t>
            </w:r>
            <w:proofErr w:type="spellStart"/>
            <w:r>
              <w:rPr>
                <w:rFonts w:ascii="Tahoma" w:hAnsi="Tahoma" w:cs="Tahoma"/>
                <w:sz w:val="20"/>
              </w:rPr>
              <w:t>srl</w:t>
            </w:r>
            <w:proofErr w:type="spellEnd"/>
            <w:r>
              <w:rPr>
                <w:rFonts w:ascii="Tahoma" w:hAnsi="Tahoma" w:cs="Tahoma"/>
                <w:sz w:val="20"/>
              </w:rPr>
              <w:t xml:space="preserve">, che impiega 2 dipendenti dedicati a questa attività: queste figure sono completamente integrate nella struttura dell’Ufficio Tributi e, a partire dal 01/01/2020, hanno stabilito la propria sede di lavoro presso il nuovo Ufficio Unico dei </w:t>
            </w:r>
            <w:proofErr w:type="gramStart"/>
            <w:r>
              <w:rPr>
                <w:rFonts w:ascii="Tahoma" w:hAnsi="Tahoma" w:cs="Tahoma"/>
                <w:sz w:val="20"/>
              </w:rPr>
              <w:t>Tributi,  ubicato</w:t>
            </w:r>
            <w:proofErr w:type="gramEnd"/>
            <w:r>
              <w:rPr>
                <w:rFonts w:ascii="Tahoma" w:hAnsi="Tahoma" w:cs="Tahoma"/>
                <w:sz w:val="20"/>
              </w:rPr>
              <w:t xml:space="preserve"> a Guastalla in via Castagnoli 7 (sede ex tribunale).</w:t>
            </w:r>
          </w:p>
          <w:p w14:paraId="1B125252" w14:textId="77777777" w:rsidR="00C7161D" w:rsidRDefault="00C7161D" w:rsidP="008F052C">
            <w:pPr>
              <w:tabs>
                <w:tab w:val="left" w:pos="567"/>
                <w:tab w:val="left" w:pos="709"/>
              </w:tabs>
              <w:jc w:val="both"/>
              <w:rPr>
                <w:rFonts w:ascii="Tahoma" w:hAnsi="Tahoma" w:cs="Tahoma"/>
                <w:sz w:val="20"/>
              </w:rPr>
            </w:pPr>
            <w:r>
              <w:rPr>
                <w:rFonts w:ascii="Tahoma" w:hAnsi="Tahoma" w:cs="Tahoma"/>
                <w:sz w:val="20"/>
              </w:rPr>
              <w:t>L’organizzazione del lavoro prevede che ogni persona presti servizio direttamente sul Comune a cui è stata assegnata per 3/4 giorni alla settimana, al fine di garantire il ricevimento al pubblico e l’assistenza ai contribuenti; sono previsti due incontri settimanali, in cui il personale si riunisce presso il “back-office”, ora situato a Guastalla.</w:t>
            </w:r>
          </w:p>
          <w:p w14:paraId="28ECD02F" w14:textId="77777777" w:rsidR="00C7161D" w:rsidRDefault="00C7161D" w:rsidP="008F052C">
            <w:pPr>
              <w:tabs>
                <w:tab w:val="left" w:pos="567"/>
                <w:tab w:val="left" w:pos="709"/>
              </w:tabs>
              <w:jc w:val="both"/>
              <w:rPr>
                <w:rFonts w:ascii="Tahoma" w:hAnsi="Tahoma" w:cs="Tahoma"/>
                <w:sz w:val="20"/>
              </w:rPr>
            </w:pPr>
            <w:r>
              <w:rPr>
                <w:rFonts w:ascii="Tahoma" w:hAnsi="Tahoma" w:cs="Tahoma"/>
                <w:sz w:val="20"/>
              </w:rPr>
              <w:t>Sono state sperimentate le prime forme di interscambio fra dipendenti assegnati ai singoli comuni, al fine di valorizzare le singole competenze professionali e le capacità individuali all’interno dell’Unione, anche se il rapporto tra numero di dipendenti e numero dei comuni dell’Unione non consente un pieno sviluppo degli interscambi di personale tra comuni.</w:t>
            </w:r>
          </w:p>
          <w:p w14:paraId="1FFB697D" w14:textId="77777777" w:rsidR="00C7161D" w:rsidRDefault="00C7161D" w:rsidP="008F052C">
            <w:pPr>
              <w:tabs>
                <w:tab w:val="left" w:pos="567"/>
                <w:tab w:val="left" w:pos="709"/>
              </w:tabs>
              <w:jc w:val="both"/>
              <w:rPr>
                <w:rFonts w:ascii="Tahoma" w:hAnsi="Tahoma" w:cs="Tahoma"/>
                <w:sz w:val="20"/>
              </w:rPr>
            </w:pPr>
            <w:r>
              <w:rPr>
                <w:rFonts w:ascii="Tahoma" w:hAnsi="Tahoma" w:cs="Tahoma"/>
                <w:sz w:val="20"/>
              </w:rPr>
              <w:t xml:space="preserve">L’attività dell’Ufficio è principalmente rivolta alla gestione dei tributi comunali: IMU, TASI (dal 2020 accorpata all’IMU) e TARI, e si articola essenzialmente nell’assistenza ai contribuenti e nell’attività di contrasto all’evasione fiscale. </w:t>
            </w:r>
          </w:p>
          <w:p w14:paraId="0B0AAA68" w14:textId="77777777" w:rsidR="00C7161D" w:rsidRDefault="00C7161D" w:rsidP="008F052C">
            <w:pPr>
              <w:tabs>
                <w:tab w:val="left" w:pos="567"/>
                <w:tab w:val="left" w:pos="709"/>
              </w:tabs>
              <w:jc w:val="both"/>
              <w:rPr>
                <w:rFonts w:ascii="Tahoma" w:hAnsi="Tahoma" w:cs="Tahoma"/>
                <w:sz w:val="20"/>
              </w:rPr>
            </w:pPr>
            <w:r>
              <w:rPr>
                <w:rFonts w:ascii="Tahoma" w:hAnsi="Tahoma" w:cs="Tahoma"/>
                <w:sz w:val="20"/>
              </w:rPr>
              <w:t>L’attività di assistenza ai contribuenti è garantita con la presenza del personale presso i singoli Comuni, mentre l’attività di contrasto all’evasione fiscale, che consiste nell’organizzazione dell’accertamento e della riscossione coattiva, viene sviluppata prevalentemente presso il back office di Guastalla.</w:t>
            </w:r>
          </w:p>
          <w:p w14:paraId="33380646" w14:textId="77777777" w:rsidR="00C7161D" w:rsidRPr="00C7161D" w:rsidRDefault="00C7161D" w:rsidP="008F052C">
            <w:pPr>
              <w:tabs>
                <w:tab w:val="left" w:pos="567"/>
                <w:tab w:val="left" w:pos="709"/>
              </w:tabs>
              <w:jc w:val="both"/>
              <w:rPr>
                <w:rFonts w:ascii="Tahoma" w:hAnsi="Tahoma" w:cs="Tahoma"/>
                <w:sz w:val="20"/>
              </w:rPr>
            </w:pPr>
            <w:r>
              <w:rPr>
                <w:rFonts w:ascii="Tahoma" w:hAnsi="Tahoma" w:cs="Tahoma"/>
                <w:sz w:val="20"/>
              </w:rPr>
              <w:t xml:space="preserve">I Comuni dell’Unione Bassa Reggiana gestiscono direttamente la fase amministrativa della tassa rifiuti: nel corso del 2020 dovranno pertanto essere inviati tutti gli avvisi di pagamento relativi alla seconda rata 2019 (entro il mese di marzo) e quelli relativi alla prima rata 2020 </w:t>
            </w:r>
            <w:r w:rsidRPr="00C7161D">
              <w:rPr>
                <w:rFonts w:ascii="Tahoma" w:hAnsi="Tahoma" w:cs="Tahoma"/>
                <w:b/>
                <w:sz w:val="20"/>
              </w:rPr>
              <w:t>Non saranno inviati i solleciti/accertamenti 2019 in quanto si è deciso di rinviare l’emissione a gennaio 2021 a causa dell’emergenza Covid.</w:t>
            </w:r>
          </w:p>
          <w:p w14:paraId="07558D41" w14:textId="77777777" w:rsidR="00C7161D" w:rsidRDefault="00C7161D" w:rsidP="008F052C">
            <w:pPr>
              <w:tabs>
                <w:tab w:val="left" w:pos="567"/>
                <w:tab w:val="left" w:pos="709"/>
              </w:tabs>
              <w:jc w:val="both"/>
              <w:rPr>
                <w:rFonts w:ascii="Tahoma" w:hAnsi="Tahoma" w:cs="Tahoma"/>
                <w:sz w:val="20"/>
              </w:rPr>
            </w:pPr>
            <w:r>
              <w:rPr>
                <w:rFonts w:ascii="Tahoma" w:hAnsi="Tahoma" w:cs="Tahoma"/>
                <w:sz w:val="20"/>
              </w:rPr>
              <w:t xml:space="preserve">Come già avvenuto a partire dal 2018, nel corso del 2020 verrà posta particolare attenzione alla fase della riscossione coattiva, che sarà svolta sia mediante </w:t>
            </w:r>
            <w:proofErr w:type="gramStart"/>
            <w:r>
              <w:rPr>
                <w:rFonts w:ascii="Tahoma" w:hAnsi="Tahoma" w:cs="Tahoma"/>
                <w:sz w:val="20"/>
              </w:rPr>
              <w:t>l’ ingiunzione</w:t>
            </w:r>
            <w:proofErr w:type="gramEnd"/>
            <w:r>
              <w:rPr>
                <w:rFonts w:ascii="Tahoma" w:hAnsi="Tahoma" w:cs="Tahoma"/>
                <w:sz w:val="20"/>
              </w:rPr>
              <w:t xml:space="preserve"> fiscale, cioè direttamente dai Comuni con il supporto esterno di un concessionario in appalto di servizi, sia mediante affidamento il concessionario nazionale (Agenzia Entrate Riscossione). Occorrerà altresì organizzare </w:t>
            </w:r>
            <w:r w:rsidRPr="0097298D">
              <w:rPr>
                <w:rFonts w:ascii="Tahoma" w:hAnsi="Tahoma" w:cs="Tahoma"/>
                <w:i/>
                <w:sz w:val="20"/>
              </w:rPr>
              <w:t>ex novo</w:t>
            </w:r>
            <w:r>
              <w:rPr>
                <w:rFonts w:ascii="Tahoma" w:hAnsi="Tahoma" w:cs="Tahoma"/>
                <w:sz w:val="20"/>
              </w:rPr>
              <w:t xml:space="preserve"> la riscossione coattiva in relazione agli accertamenti notificati a decorrere dal 01/01/2020, preso atto che la Legge di Bilancio 2020 ha introdotto, anche per i tributi comunali, l’immediata esecutività degli avvisi d’accertamento.</w:t>
            </w:r>
          </w:p>
          <w:p w14:paraId="78189BF6" w14:textId="77777777" w:rsidR="00C7161D" w:rsidRDefault="00C7161D" w:rsidP="008F052C">
            <w:pPr>
              <w:tabs>
                <w:tab w:val="left" w:pos="567"/>
                <w:tab w:val="left" w:pos="709"/>
              </w:tabs>
              <w:jc w:val="both"/>
              <w:rPr>
                <w:rFonts w:ascii="Tahoma" w:hAnsi="Tahoma" w:cs="Tahoma"/>
                <w:sz w:val="20"/>
              </w:rPr>
            </w:pPr>
            <w:r>
              <w:rPr>
                <w:rFonts w:ascii="Tahoma" w:hAnsi="Tahoma" w:cs="Tahoma"/>
                <w:sz w:val="20"/>
              </w:rPr>
              <w:lastRenderedPageBreak/>
              <w:t>Per quanto riguarda le dotazioni strumentali, nel 2019 è stata aggiudicata la gara per la fornitura dei servizi relativa ai software gestionali dei tributi per l’Unione Bassa Reggiana: nel 2020 occorrerà pertanto completare le conversioni delle banche dati e sviluppare i nuovi software applicativi.</w:t>
            </w:r>
          </w:p>
          <w:p w14:paraId="63242E67" w14:textId="77777777" w:rsidR="00C7161D" w:rsidRDefault="00C7161D" w:rsidP="008F052C">
            <w:pPr>
              <w:tabs>
                <w:tab w:val="left" w:pos="567"/>
                <w:tab w:val="left" w:pos="709"/>
              </w:tabs>
              <w:jc w:val="both"/>
              <w:rPr>
                <w:rFonts w:ascii="Tahoma" w:hAnsi="Tahoma" w:cs="Tahoma"/>
                <w:sz w:val="20"/>
              </w:rPr>
            </w:pPr>
            <w:r>
              <w:rPr>
                <w:rFonts w:ascii="Tahoma" w:hAnsi="Tahoma" w:cs="Tahoma"/>
                <w:sz w:val="20"/>
              </w:rPr>
              <w:t>Il Servizio Tributi ha il compito di curare i rapporti con i Gestori dei tributi locali minori e di controllare il regolare svolgimento delle attività gestionali: in seguito all’affidamento de Imposta sulla Pubblicità e diritti sulle pubbliche affissioni ad ICA srl per il periodo 2016-2020, l’Ufficio monitorerà gli incassi del tributo ed affiancherà il gestore fornendo tutte le informazioni richieste  e controllando l’operato del gestore anche tramite verifica dei dettagli riepilogativi sull’attività svolta.</w:t>
            </w:r>
          </w:p>
          <w:p w14:paraId="7E151B94" w14:textId="77777777" w:rsidR="00C7161D" w:rsidRDefault="00C7161D" w:rsidP="008F052C">
            <w:pPr>
              <w:tabs>
                <w:tab w:val="left" w:pos="567"/>
                <w:tab w:val="left" w:pos="709"/>
              </w:tabs>
              <w:jc w:val="both"/>
              <w:rPr>
                <w:rFonts w:ascii="Tahoma" w:hAnsi="Tahoma" w:cs="Tahoma"/>
                <w:sz w:val="20"/>
              </w:rPr>
            </w:pPr>
            <w:r>
              <w:rPr>
                <w:rFonts w:ascii="Tahoma" w:hAnsi="Tahoma" w:cs="Tahoma"/>
                <w:sz w:val="20"/>
              </w:rPr>
              <w:t>Infine, per il 2020, si ritiene fondamentale l’attivazione di nuove azioni volte a migliorare gli interscambi informativi con i servizi comunali non conferiti in Unione.</w:t>
            </w:r>
          </w:p>
          <w:p w14:paraId="0ACFE7C4" w14:textId="77777777" w:rsidR="00C7161D" w:rsidRDefault="00C7161D" w:rsidP="008F052C">
            <w:pPr>
              <w:tabs>
                <w:tab w:val="left" w:pos="567"/>
                <w:tab w:val="left" w:pos="709"/>
              </w:tabs>
              <w:jc w:val="both"/>
              <w:rPr>
                <w:rFonts w:ascii="Tahoma" w:hAnsi="Tahoma" w:cs="Tahoma"/>
                <w:sz w:val="20"/>
              </w:rPr>
            </w:pPr>
            <w:r>
              <w:rPr>
                <w:rFonts w:ascii="Tahoma" w:hAnsi="Tahoma" w:cs="Tahoma"/>
                <w:sz w:val="20"/>
              </w:rPr>
              <w:t xml:space="preserve">Il conferimento dell’Ufficio Tributi in Unione, infatti, comporta la gestione amministrativa dei tributi comunali in capo all’ente conferitario; tuttavia, la potestà impositiva permane in capo ai singoli comuni: ciò richiede particolare attenzione alla definizione delle competenze ed </w:t>
            </w:r>
            <w:proofErr w:type="gramStart"/>
            <w:r>
              <w:rPr>
                <w:rFonts w:ascii="Tahoma" w:hAnsi="Tahoma" w:cs="Tahoma"/>
                <w:sz w:val="20"/>
              </w:rPr>
              <w:t>un’ accurata</w:t>
            </w:r>
            <w:proofErr w:type="gramEnd"/>
            <w:r>
              <w:rPr>
                <w:rFonts w:ascii="Tahoma" w:hAnsi="Tahoma" w:cs="Tahoma"/>
                <w:sz w:val="20"/>
              </w:rPr>
              <w:t xml:space="preserve"> attività coordinamento tra l’Ufficio unionale e i singoli comuni.</w:t>
            </w:r>
          </w:p>
          <w:p w14:paraId="64FB0C5D" w14:textId="77777777" w:rsidR="00C7161D" w:rsidRPr="00C2228C" w:rsidRDefault="00C7161D" w:rsidP="008F052C">
            <w:pPr>
              <w:tabs>
                <w:tab w:val="left" w:pos="567"/>
                <w:tab w:val="left" w:pos="709"/>
              </w:tabs>
              <w:jc w:val="both"/>
              <w:rPr>
                <w:rFonts w:ascii="Tahoma" w:hAnsi="Tahoma" w:cs="Tahoma"/>
                <w:sz w:val="20"/>
              </w:rPr>
            </w:pPr>
            <w:r>
              <w:rPr>
                <w:rFonts w:ascii="Tahoma" w:hAnsi="Tahoma" w:cs="Tahoma"/>
                <w:sz w:val="20"/>
              </w:rPr>
              <w:t xml:space="preserve"> In particolare, viste le caratteristiche del lavoro dell’Ufficio Tributi, sarà necessario prevedere alcuni incontri con gli Uffici Finanziari dei singoli Comuni, al fine di uniformare le modalità di comunicazione dei dati relativi agli incassi di natura tributaria e per definire con precisione le competenze in merito agli atti amministrativi.</w:t>
            </w:r>
          </w:p>
        </w:tc>
        <w:tc>
          <w:tcPr>
            <w:tcW w:w="2606" w:type="dxa"/>
            <w:tcBorders>
              <w:top w:val="single" w:sz="8" w:space="0" w:color="00000A"/>
              <w:left w:val="single" w:sz="8" w:space="0" w:color="00000A"/>
              <w:bottom w:val="single" w:sz="8" w:space="0" w:color="00000A"/>
              <w:right w:val="single" w:sz="8" w:space="0" w:color="00000A"/>
            </w:tcBorders>
            <w:shd w:val="clear" w:color="auto" w:fill="auto"/>
            <w:tcMar>
              <w:left w:w="50" w:type="dxa"/>
            </w:tcMar>
          </w:tcPr>
          <w:p w14:paraId="0E16348A" w14:textId="77777777" w:rsidR="00C7161D" w:rsidRDefault="00C7161D" w:rsidP="008F052C">
            <w:pPr>
              <w:tabs>
                <w:tab w:val="left" w:pos="709"/>
              </w:tabs>
              <w:overflowPunct w:val="0"/>
              <w:jc w:val="center"/>
              <w:rPr>
                <w:rFonts w:ascii="Tahoma" w:hAnsi="Tahoma" w:cs="Tahoma"/>
                <w:sz w:val="20"/>
                <w:szCs w:val="20"/>
              </w:rPr>
            </w:pPr>
          </w:p>
        </w:tc>
      </w:tr>
      <w:tr w:rsidR="00C7161D" w14:paraId="6A264F7F" w14:textId="77777777" w:rsidTr="008F052C">
        <w:trPr>
          <w:jc w:val="center"/>
        </w:trPr>
        <w:tc>
          <w:tcPr>
            <w:tcW w:w="405" w:type="dxa"/>
            <w:vMerge w:val="restart"/>
            <w:tcBorders>
              <w:top w:val="single" w:sz="8" w:space="0" w:color="00000A"/>
              <w:left w:val="single" w:sz="8" w:space="0" w:color="00000A"/>
              <w:bottom w:val="single" w:sz="8" w:space="0" w:color="00000A"/>
              <w:right w:val="single" w:sz="8" w:space="0" w:color="00000A"/>
            </w:tcBorders>
            <w:shd w:val="clear" w:color="auto" w:fill="99CCFF"/>
            <w:tcMar>
              <w:left w:w="50" w:type="dxa"/>
            </w:tcMar>
          </w:tcPr>
          <w:p w14:paraId="2A1B87BE" w14:textId="77777777" w:rsidR="00C7161D" w:rsidRDefault="00C7161D" w:rsidP="008F052C">
            <w:pPr>
              <w:tabs>
                <w:tab w:val="left" w:pos="709"/>
              </w:tabs>
              <w:overflowPunct w:val="0"/>
              <w:jc w:val="center"/>
              <w:rPr>
                <w:rFonts w:ascii="Tahoma" w:hAnsi="Tahoma" w:cs="Tahoma"/>
                <w:sz w:val="20"/>
                <w:szCs w:val="20"/>
              </w:rPr>
            </w:pPr>
            <w:r>
              <w:rPr>
                <w:rFonts w:ascii="Tahoma" w:hAnsi="Tahoma" w:cs="Tahoma"/>
                <w:sz w:val="20"/>
                <w:szCs w:val="20"/>
              </w:rPr>
              <w:t>Nr.</w:t>
            </w:r>
          </w:p>
        </w:tc>
        <w:tc>
          <w:tcPr>
            <w:tcW w:w="1483" w:type="dxa"/>
            <w:vMerge w:val="restart"/>
            <w:tcBorders>
              <w:top w:val="single" w:sz="8" w:space="0" w:color="00000A"/>
              <w:left w:val="single" w:sz="8" w:space="0" w:color="00000A"/>
              <w:bottom w:val="single" w:sz="8" w:space="0" w:color="00000A"/>
              <w:right w:val="single" w:sz="8" w:space="0" w:color="00000A"/>
            </w:tcBorders>
            <w:shd w:val="clear" w:color="auto" w:fill="99CCFF"/>
            <w:tcMar>
              <w:left w:w="50" w:type="dxa"/>
            </w:tcMar>
          </w:tcPr>
          <w:p w14:paraId="7D335012" w14:textId="77777777" w:rsidR="00C7161D" w:rsidRDefault="00C7161D" w:rsidP="008F052C">
            <w:pPr>
              <w:tabs>
                <w:tab w:val="left" w:pos="709"/>
              </w:tabs>
              <w:overflowPunct w:val="0"/>
              <w:jc w:val="center"/>
              <w:rPr>
                <w:rFonts w:ascii="Tahoma" w:hAnsi="Tahoma" w:cs="Tahoma"/>
                <w:sz w:val="20"/>
                <w:szCs w:val="20"/>
              </w:rPr>
            </w:pPr>
            <w:r>
              <w:rPr>
                <w:rFonts w:ascii="Tahoma" w:hAnsi="Tahoma" w:cs="Tahoma"/>
                <w:sz w:val="20"/>
                <w:szCs w:val="20"/>
              </w:rPr>
              <w:t>PESO OBIETTIVO</w:t>
            </w:r>
          </w:p>
        </w:tc>
        <w:tc>
          <w:tcPr>
            <w:tcW w:w="2504" w:type="dxa"/>
            <w:vMerge w:val="restart"/>
            <w:tcBorders>
              <w:top w:val="single" w:sz="8" w:space="0" w:color="00000A"/>
              <w:left w:val="single" w:sz="8" w:space="0" w:color="00000A"/>
              <w:bottom w:val="single" w:sz="8" w:space="0" w:color="00000A"/>
              <w:right w:val="single" w:sz="8" w:space="0" w:color="00000A"/>
            </w:tcBorders>
            <w:shd w:val="clear" w:color="auto" w:fill="99CCFF"/>
            <w:tcMar>
              <w:left w:w="50" w:type="dxa"/>
            </w:tcMar>
          </w:tcPr>
          <w:p w14:paraId="3493D0C1" w14:textId="77777777" w:rsidR="00C7161D" w:rsidRDefault="00C7161D" w:rsidP="008F052C">
            <w:pPr>
              <w:tabs>
                <w:tab w:val="left" w:pos="709"/>
              </w:tabs>
              <w:overflowPunct w:val="0"/>
              <w:jc w:val="center"/>
              <w:rPr>
                <w:rFonts w:ascii="Tahoma" w:hAnsi="Tahoma" w:cs="Tahoma"/>
                <w:sz w:val="20"/>
                <w:szCs w:val="20"/>
              </w:rPr>
            </w:pPr>
            <w:r>
              <w:rPr>
                <w:rFonts w:ascii="Tahoma" w:hAnsi="Tahoma" w:cs="Tahoma"/>
                <w:sz w:val="20"/>
                <w:szCs w:val="20"/>
              </w:rPr>
              <w:t>PROGETTI E/O OBIETTIVI DI PROGRAMMA ASSEGNATI PER L’ESERCIZIO 2015</w:t>
            </w:r>
          </w:p>
        </w:tc>
        <w:tc>
          <w:tcPr>
            <w:tcW w:w="1933" w:type="dxa"/>
            <w:gridSpan w:val="3"/>
            <w:tcBorders>
              <w:top w:val="single" w:sz="8" w:space="0" w:color="00000A"/>
              <w:left w:val="single" w:sz="8" w:space="0" w:color="00000A"/>
              <w:bottom w:val="single" w:sz="8" w:space="0" w:color="00000A"/>
              <w:right w:val="single" w:sz="8" w:space="0" w:color="00000A"/>
            </w:tcBorders>
            <w:shd w:val="clear" w:color="auto" w:fill="99CCFF"/>
            <w:tcMar>
              <w:left w:w="50" w:type="dxa"/>
            </w:tcMar>
          </w:tcPr>
          <w:p w14:paraId="25BC4CAA" w14:textId="77777777" w:rsidR="00C7161D" w:rsidRDefault="00C7161D" w:rsidP="008F052C">
            <w:pPr>
              <w:tabs>
                <w:tab w:val="left" w:pos="709"/>
              </w:tabs>
              <w:overflowPunct w:val="0"/>
              <w:jc w:val="center"/>
              <w:rPr>
                <w:rFonts w:ascii="Tahoma" w:hAnsi="Tahoma" w:cs="Tahoma"/>
                <w:sz w:val="20"/>
                <w:szCs w:val="20"/>
              </w:rPr>
            </w:pPr>
            <w:r>
              <w:rPr>
                <w:rFonts w:ascii="Tahoma" w:hAnsi="Tahoma" w:cs="Tahoma"/>
                <w:sz w:val="20"/>
                <w:szCs w:val="20"/>
              </w:rPr>
              <w:t>STATO DI ATTUAZIONE ATTESO</w:t>
            </w:r>
          </w:p>
        </w:tc>
        <w:tc>
          <w:tcPr>
            <w:tcW w:w="2843" w:type="dxa"/>
            <w:vMerge w:val="restart"/>
            <w:tcBorders>
              <w:top w:val="single" w:sz="8" w:space="0" w:color="00000A"/>
              <w:left w:val="single" w:sz="8" w:space="0" w:color="00000A"/>
              <w:bottom w:val="single" w:sz="8" w:space="0" w:color="00000A"/>
              <w:right w:val="single" w:sz="8" w:space="0" w:color="00000A"/>
            </w:tcBorders>
            <w:shd w:val="clear" w:color="auto" w:fill="99CCFF"/>
            <w:tcMar>
              <w:left w:w="50" w:type="dxa"/>
            </w:tcMar>
          </w:tcPr>
          <w:p w14:paraId="43D5D359" w14:textId="77777777" w:rsidR="00C7161D" w:rsidRDefault="00C7161D" w:rsidP="008F052C">
            <w:pPr>
              <w:tabs>
                <w:tab w:val="left" w:pos="709"/>
              </w:tabs>
              <w:overflowPunct w:val="0"/>
              <w:jc w:val="center"/>
              <w:rPr>
                <w:rFonts w:ascii="Tahoma" w:hAnsi="Tahoma" w:cs="Tahoma"/>
                <w:sz w:val="20"/>
                <w:szCs w:val="20"/>
              </w:rPr>
            </w:pPr>
            <w:r>
              <w:rPr>
                <w:rFonts w:ascii="Tahoma" w:hAnsi="Tahoma" w:cs="Tahoma"/>
                <w:sz w:val="20"/>
                <w:szCs w:val="20"/>
              </w:rPr>
              <w:t>INDICATORI RISULTATO</w:t>
            </w:r>
          </w:p>
        </w:tc>
        <w:tc>
          <w:tcPr>
            <w:tcW w:w="2711" w:type="dxa"/>
            <w:vMerge w:val="restart"/>
            <w:tcBorders>
              <w:top w:val="single" w:sz="8" w:space="0" w:color="00000A"/>
              <w:left w:val="single" w:sz="8" w:space="0" w:color="00000A"/>
              <w:bottom w:val="single" w:sz="8" w:space="0" w:color="00000A"/>
              <w:right w:val="single" w:sz="8" w:space="0" w:color="00000A"/>
            </w:tcBorders>
            <w:shd w:val="clear" w:color="auto" w:fill="99CCFF"/>
            <w:tcMar>
              <w:left w:w="50" w:type="dxa"/>
            </w:tcMar>
          </w:tcPr>
          <w:p w14:paraId="7D19E302" w14:textId="77777777" w:rsidR="00C7161D" w:rsidRDefault="00C7161D" w:rsidP="008F052C">
            <w:pPr>
              <w:tabs>
                <w:tab w:val="left" w:pos="709"/>
              </w:tabs>
              <w:overflowPunct w:val="0"/>
              <w:jc w:val="center"/>
              <w:rPr>
                <w:rFonts w:ascii="Tahoma" w:hAnsi="Tahoma" w:cs="Tahoma"/>
                <w:sz w:val="20"/>
                <w:szCs w:val="20"/>
              </w:rPr>
            </w:pPr>
            <w:r>
              <w:rPr>
                <w:rFonts w:ascii="Tahoma" w:hAnsi="Tahoma" w:cs="Tahoma"/>
                <w:sz w:val="20"/>
                <w:szCs w:val="20"/>
              </w:rPr>
              <w:t>NOTE</w:t>
            </w:r>
          </w:p>
          <w:p w14:paraId="6526B039" w14:textId="77777777" w:rsidR="00C7161D" w:rsidRDefault="00C7161D" w:rsidP="008F052C">
            <w:pPr>
              <w:tabs>
                <w:tab w:val="left" w:pos="2343"/>
              </w:tabs>
              <w:rPr>
                <w:rFonts w:ascii="Tahoma" w:hAnsi="Tahoma" w:cs="Tahoma"/>
                <w:sz w:val="20"/>
                <w:szCs w:val="20"/>
              </w:rPr>
            </w:pPr>
            <w:r>
              <w:rPr>
                <w:rFonts w:ascii="Tahoma" w:hAnsi="Tahoma" w:cs="Tahoma"/>
                <w:sz w:val="20"/>
                <w:szCs w:val="20"/>
              </w:rPr>
              <w:tab/>
            </w:r>
          </w:p>
        </w:tc>
        <w:tc>
          <w:tcPr>
            <w:tcW w:w="2606" w:type="dxa"/>
            <w:tcBorders>
              <w:top w:val="single" w:sz="8" w:space="0" w:color="00000A"/>
              <w:left w:val="single" w:sz="8" w:space="0" w:color="00000A"/>
              <w:bottom w:val="single" w:sz="8" w:space="0" w:color="00000A"/>
              <w:right w:val="single" w:sz="8" w:space="0" w:color="00000A"/>
            </w:tcBorders>
            <w:shd w:val="clear" w:color="auto" w:fill="99CCFF"/>
            <w:tcMar>
              <w:left w:w="50" w:type="dxa"/>
            </w:tcMar>
          </w:tcPr>
          <w:p w14:paraId="18435526" w14:textId="77777777" w:rsidR="00C7161D" w:rsidRDefault="00C7161D" w:rsidP="008F052C">
            <w:pPr>
              <w:tabs>
                <w:tab w:val="left" w:pos="709"/>
              </w:tabs>
              <w:overflowPunct w:val="0"/>
              <w:jc w:val="center"/>
            </w:pPr>
            <w:r>
              <w:rPr>
                <w:rFonts w:ascii="Tahoma" w:hAnsi="Tahoma" w:cs="Tahoma"/>
                <w:sz w:val="20"/>
                <w:szCs w:val="20"/>
              </w:rPr>
              <w:t>STATO AL 31.12.2020</w:t>
            </w:r>
          </w:p>
        </w:tc>
      </w:tr>
      <w:tr w:rsidR="00C7161D" w14:paraId="43783A20" w14:textId="77777777" w:rsidTr="008F052C">
        <w:trPr>
          <w:jc w:val="center"/>
        </w:trPr>
        <w:tc>
          <w:tcPr>
            <w:tcW w:w="405" w:type="dxa"/>
            <w:vMerge/>
            <w:tcBorders>
              <w:top w:val="single" w:sz="8" w:space="0" w:color="00000A"/>
              <w:left w:val="single" w:sz="8" w:space="0" w:color="00000A"/>
              <w:bottom w:val="single" w:sz="8" w:space="0" w:color="00000A"/>
              <w:right w:val="single" w:sz="8" w:space="0" w:color="00000A"/>
            </w:tcBorders>
            <w:shd w:val="clear" w:color="auto" w:fill="99CCFF"/>
            <w:tcMar>
              <w:left w:w="50" w:type="dxa"/>
            </w:tcMar>
          </w:tcPr>
          <w:p w14:paraId="5AC499EB" w14:textId="77777777" w:rsidR="00C7161D" w:rsidRDefault="00C7161D" w:rsidP="008F052C">
            <w:pPr>
              <w:tabs>
                <w:tab w:val="left" w:pos="709"/>
              </w:tabs>
              <w:overflowPunct w:val="0"/>
              <w:jc w:val="center"/>
              <w:rPr>
                <w:rFonts w:ascii="Tahoma" w:hAnsi="Tahoma" w:cs="Tahoma"/>
                <w:sz w:val="20"/>
                <w:szCs w:val="20"/>
              </w:rPr>
            </w:pPr>
          </w:p>
        </w:tc>
        <w:tc>
          <w:tcPr>
            <w:tcW w:w="1483" w:type="dxa"/>
            <w:vMerge/>
            <w:tcBorders>
              <w:top w:val="single" w:sz="8" w:space="0" w:color="00000A"/>
              <w:left w:val="single" w:sz="8" w:space="0" w:color="00000A"/>
              <w:bottom w:val="single" w:sz="8" w:space="0" w:color="00000A"/>
              <w:right w:val="single" w:sz="8" w:space="0" w:color="00000A"/>
            </w:tcBorders>
            <w:shd w:val="clear" w:color="auto" w:fill="99CCFF"/>
            <w:tcMar>
              <w:left w:w="50" w:type="dxa"/>
            </w:tcMar>
          </w:tcPr>
          <w:p w14:paraId="4351C3F5" w14:textId="77777777" w:rsidR="00C7161D" w:rsidRDefault="00C7161D" w:rsidP="008F052C">
            <w:pPr>
              <w:tabs>
                <w:tab w:val="left" w:pos="709"/>
              </w:tabs>
              <w:overflowPunct w:val="0"/>
              <w:jc w:val="center"/>
              <w:rPr>
                <w:rFonts w:ascii="Tahoma" w:hAnsi="Tahoma" w:cs="Tahoma"/>
                <w:sz w:val="20"/>
                <w:szCs w:val="20"/>
              </w:rPr>
            </w:pPr>
          </w:p>
        </w:tc>
        <w:tc>
          <w:tcPr>
            <w:tcW w:w="2504" w:type="dxa"/>
            <w:vMerge/>
            <w:tcBorders>
              <w:top w:val="single" w:sz="8" w:space="0" w:color="00000A"/>
              <w:left w:val="single" w:sz="8" w:space="0" w:color="00000A"/>
              <w:bottom w:val="single" w:sz="8" w:space="0" w:color="00000A"/>
              <w:right w:val="single" w:sz="8" w:space="0" w:color="00000A"/>
            </w:tcBorders>
            <w:shd w:val="clear" w:color="auto" w:fill="99CCFF"/>
            <w:tcMar>
              <w:left w:w="50" w:type="dxa"/>
            </w:tcMar>
          </w:tcPr>
          <w:p w14:paraId="32D763F3" w14:textId="77777777" w:rsidR="00C7161D" w:rsidRDefault="00C7161D" w:rsidP="008F052C">
            <w:pPr>
              <w:tabs>
                <w:tab w:val="left" w:pos="709"/>
              </w:tabs>
              <w:overflowPunct w:val="0"/>
              <w:jc w:val="center"/>
              <w:rPr>
                <w:rFonts w:ascii="Tahoma" w:hAnsi="Tahoma" w:cs="Tahoma"/>
                <w:sz w:val="20"/>
                <w:szCs w:val="20"/>
              </w:rPr>
            </w:pPr>
          </w:p>
        </w:tc>
        <w:tc>
          <w:tcPr>
            <w:tcW w:w="666" w:type="dxa"/>
            <w:tcBorders>
              <w:top w:val="single" w:sz="8" w:space="0" w:color="00000A"/>
              <w:left w:val="single" w:sz="8" w:space="0" w:color="00000A"/>
              <w:bottom w:val="single" w:sz="8" w:space="0" w:color="00000A"/>
              <w:right w:val="single" w:sz="8" w:space="0" w:color="00000A"/>
            </w:tcBorders>
            <w:shd w:val="clear" w:color="auto" w:fill="99CCFF"/>
            <w:tcMar>
              <w:left w:w="50" w:type="dxa"/>
            </w:tcMar>
          </w:tcPr>
          <w:p w14:paraId="0C2221DE" w14:textId="77777777" w:rsidR="00C7161D" w:rsidRDefault="00C7161D" w:rsidP="008F052C">
            <w:pPr>
              <w:tabs>
                <w:tab w:val="left" w:pos="709"/>
              </w:tabs>
              <w:overflowPunct w:val="0"/>
              <w:jc w:val="center"/>
              <w:rPr>
                <w:rFonts w:ascii="Tahoma" w:hAnsi="Tahoma" w:cs="Tahoma"/>
                <w:sz w:val="18"/>
                <w:szCs w:val="18"/>
              </w:rPr>
            </w:pPr>
            <w:r>
              <w:rPr>
                <w:rFonts w:ascii="Tahoma" w:hAnsi="Tahoma" w:cs="Tahoma"/>
                <w:sz w:val="18"/>
                <w:szCs w:val="18"/>
              </w:rPr>
              <w:t>30.06</w:t>
            </w:r>
          </w:p>
        </w:tc>
        <w:tc>
          <w:tcPr>
            <w:tcW w:w="588" w:type="dxa"/>
            <w:tcBorders>
              <w:top w:val="single" w:sz="8" w:space="0" w:color="00000A"/>
              <w:left w:val="single" w:sz="8" w:space="0" w:color="00000A"/>
              <w:bottom w:val="single" w:sz="8" w:space="0" w:color="00000A"/>
              <w:right w:val="single" w:sz="8" w:space="0" w:color="00000A"/>
            </w:tcBorders>
            <w:shd w:val="clear" w:color="auto" w:fill="99CCFF"/>
            <w:tcMar>
              <w:left w:w="50" w:type="dxa"/>
            </w:tcMar>
          </w:tcPr>
          <w:p w14:paraId="147A0B28" w14:textId="77777777" w:rsidR="00C7161D" w:rsidRDefault="00C7161D" w:rsidP="008F052C">
            <w:pPr>
              <w:tabs>
                <w:tab w:val="left" w:pos="709"/>
              </w:tabs>
              <w:overflowPunct w:val="0"/>
              <w:jc w:val="center"/>
              <w:rPr>
                <w:rFonts w:ascii="Tahoma" w:hAnsi="Tahoma" w:cs="Tahoma"/>
                <w:sz w:val="18"/>
                <w:szCs w:val="18"/>
              </w:rPr>
            </w:pPr>
            <w:r>
              <w:rPr>
                <w:rFonts w:ascii="Tahoma" w:hAnsi="Tahoma" w:cs="Tahoma"/>
                <w:sz w:val="18"/>
                <w:szCs w:val="18"/>
              </w:rPr>
              <w:t>30.09</w:t>
            </w:r>
          </w:p>
        </w:tc>
        <w:tc>
          <w:tcPr>
            <w:tcW w:w="679" w:type="dxa"/>
            <w:tcBorders>
              <w:top w:val="single" w:sz="8" w:space="0" w:color="00000A"/>
              <w:left w:val="single" w:sz="8" w:space="0" w:color="00000A"/>
              <w:bottom w:val="single" w:sz="8" w:space="0" w:color="00000A"/>
              <w:right w:val="single" w:sz="8" w:space="0" w:color="00000A"/>
            </w:tcBorders>
            <w:shd w:val="clear" w:color="auto" w:fill="99CCFF"/>
            <w:tcMar>
              <w:left w:w="50" w:type="dxa"/>
            </w:tcMar>
          </w:tcPr>
          <w:p w14:paraId="290AB847" w14:textId="77777777" w:rsidR="00C7161D" w:rsidRDefault="00C7161D" w:rsidP="008F052C">
            <w:pPr>
              <w:tabs>
                <w:tab w:val="left" w:pos="709"/>
              </w:tabs>
              <w:overflowPunct w:val="0"/>
              <w:jc w:val="center"/>
              <w:rPr>
                <w:rFonts w:ascii="Tahoma" w:hAnsi="Tahoma" w:cs="Tahoma"/>
                <w:sz w:val="18"/>
                <w:szCs w:val="18"/>
              </w:rPr>
            </w:pPr>
            <w:r>
              <w:rPr>
                <w:rFonts w:ascii="Tahoma" w:hAnsi="Tahoma" w:cs="Tahoma"/>
                <w:sz w:val="18"/>
                <w:szCs w:val="18"/>
              </w:rPr>
              <w:t>31.12</w:t>
            </w:r>
          </w:p>
        </w:tc>
        <w:tc>
          <w:tcPr>
            <w:tcW w:w="2843" w:type="dxa"/>
            <w:vMerge/>
            <w:tcBorders>
              <w:top w:val="single" w:sz="8" w:space="0" w:color="00000A"/>
              <w:left w:val="single" w:sz="8" w:space="0" w:color="00000A"/>
              <w:bottom w:val="single" w:sz="8" w:space="0" w:color="00000A"/>
              <w:right w:val="single" w:sz="8" w:space="0" w:color="00000A"/>
            </w:tcBorders>
            <w:shd w:val="clear" w:color="auto" w:fill="99CCFF"/>
            <w:tcMar>
              <w:left w:w="50" w:type="dxa"/>
            </w:tcMar>
          </w:tcPr>
          <w:p w14:paraId="1B4C3EDB" w14:textId="77777777" w:rsidR="00C7161D" w:rsidRDefault="00C7161D" w:rsidP="008F052C">
            <w:pPr>
              <w:tabs>
                <w:tab w:val="left" w:pos="709"/>
              </w:tabs>
              <w:overflowPunct w:val="0"/>
              <w:jc w:val="center"/>
              <w:rPr>
                <w:rFonts w:ascii="Tahoma" w:hAnsi="Tahoma" w:cs="Tahoma"/>
                <w:sz w:val="20"/>
                <w:szCs w:val="20"/>
              </w:rPr>
            </w:pPr>
          </w:p>
        </w:tc>
        <w:tc>
          <w:tcPr>
            <w:tcW w:w="2711" w:type="dxa"/>
            <w:vMerge/>
            <w:tcBorders>
              <w:top w:val="single" w:sz="8" w:space="0" w:color="00000A"/>
              <w:left w:val="single" w:sz="8" w:space="0" w:color="00000A"/>
              <w:bottom w:val="single" w:sz="8" w:space="0" w:color="00000A"/>
              <w:right w:val="single" w:sz="8" w:space="0" w:color="00000A"/>
            </w:tcBorders>
            <w:shd w:val="clear" w:color="auto" w:fill="99CCFF"/>
            <w:tcMar>
              <w:left w:w="50" w:type="dxa"/>
            </w:tcMar>
          </w:tcPr>
          <w:p w14:paraId="571420D6" w14:textId="77777777" w:rsidR="00C7161D" w:rsidRDefault="00C7161D" w:rsidP="008F052C">
            <w:pPr>
              <w:tabs>
                <w:tab w:val="left" w:pos="709"/>
              </w:tabs>
              <w:overflowPunct w:val="0"/>
              <w:jc w:val="center"/>
              <w:rPr>
                <w:rFonts w:ascii="Tahoma" w:hAnsi="Tahoma" w:cs="Tahoma"/>
                <w:sz w:val="20"/>
                <w:szCs w:val="20"/>
              </w:rPr>
            </w:pPr>
          </w:p>
        </w:tc>
        <w:tc>
          <w:tcPr>
            <w:tcW w:w="2606" w:type="dxa"/>
            <w:tcBorders>
              <w:top w:val="single" w:sz="8" w:space="0" w:color="00000A"/>
              <w:left w:val="single" w:sz="8" w:space="0" w:color="00000A"/>
              <w:bottom w:val="single" w:sz="8" w:space="0" w:color="00000A"/>
              <w:right w:val="single" w:sz="8" w:space="0" w:color="00000A"/>
            </w:tcBorders>
            <w:shd w:val="clear" w:color="auto" w:fill="99CCFF"/>
            <w:tcMar>
              <w:left w:w="50" w:type="dxa"/>
            </w:tcMar>
          </w:tcPr>
          <w:p w14:paraId="3A3CA44F" w14:textId="77777777" w:rsidR="00C7161D" w:rsidRDefault="00C7161D" w:rsidP="008F052C">
            <w:pPr>
              <w:tabs>
                <w:tab w:val="left" w:pos="709"/>
              </w:tabs>
              <w:overflowPunct w:val="0"/>
              <w:jc w:val="center"/>
              <w:rPr>
                <w:rFonts w:ascii="Tahoma" w:hAnsi="Tahoma" w:cs="Tahoma"/>
                <w:sz w:val="20"/>
                <w:szCs w:val="20"/>
              </w:rPr>
            </w:pPr>
          </w:p>
        </w:tc>
      </w:tr>
      <w:tr w:rsidR="00C7161D" w14:paraId="515D03EF" w14:textId="77777777" w:rsidTr="008F052C">
        <w:trPr>
          <w:jc w:val="center"/>
        </w:trPr>
        <w:tc>
          <w:tcPr>
            <w:tcW w:w="405" w:type="dxa"/>
            <w:tcBorders>
              <w:top w:val="single" w:sz="8" w:space="0" w:color="00000A"/>
              <w:left w:val="single" w:sz="8" w:space="0" w:color="00000A"/>
              <w:bottom w:val="single" w:sz="8" w:space="0" w:color="00000A"/>
              <w:right w:val="single" w:sz="8" w:space="0" w:color="00000A"/>
            </w:tcBorders>
            <w:shd w:val="clear" w:color="auto" w:fill="auto"/>
            <w:tcMar>
              <w:left w:w="50" w:type="dxa"/>
            </w:tcMar>
            <w:vAlign w:val="center"/>
          </w:tcPr>
          <w:p w14:paraId="765AA5C7" w14:textId="77777777" w:rsidR="00C7161D" w:rsidRDefault="00C7161D" w:rsidP="008F052C">
            <w:pPr>
              <w:tabs>
                <w:tab w:val="left" w:pos="709"/>
              </w:tabs>
              <w:overflowPunct w:val="0"/>
              <w:jc w:val="center"/>
              <w:rPr>
                <w:rFonts w:ascii="Verdana" w:hAnsi="Verdana" w:cs="Tahoma"/>
                <w:sz w:val="18"/>
                <w:szCs w:val="18"/>
              </w:rPr>
            </w:pPr>
            <w:r>
              <w:rPr>
                <w:rFonts w:ascii="Verdana" w:hAnsi="Verdana" w:cs="Tahoma"/>
                <w:sz w:val="18"/>
                <w:szCs w:val="18"/>
              </w:rPr>
              <w:t>1</w:t>
            </w:r>
          </w:p>
        </w:tc>
        <w:tc>
          <w:tcPr>
            <w:tcW w:w="1483" w:type="dxa"/>
            <w:tcBorders>
              <w:top w:val="single" w:sz="8" w:space="0" w:color="00000A"/>
              <w:left w:val="single" w:sz="8" w:space="0" w:color="00000A"/>
              <w:bottom w:val="single" w:sz="8" w:space="0" w:color="00000A"/>
              <w:right w:val="single" w:sz="8" w:space="0" w:color="00000A"/>
            </w:tcBorders>
            <w:shd w:val="clear" w:color="auto" w:fill="auto"/>
            <w:tcMar>
              <w:left w:w="50" w:type="dxa"/>
            </w:tcMar>
            <w:vAlign w:val="center"/>
          </w:tcPr>
          <w:p w14:paraId="0E96C06D" w14:textId="77777777" w:rsidR="00C7161D" w:rsidRDefault="00C7161D" w:rsidP="008F052C">
            <w:pPr>
              <w:tabs>
                <w:tab w:val="left" w:pos="709"/>
              </w:tabs>
              <w:jc w:val="center"/>
              <w:rPr>
                <w:rFonts w:ascii="Verdana" w:hAnsi="Verdana" w:cs="Tahoma"/>
                <w:sz w:val="18"/>
                <w:szCs w:val="18"/>
              </w:rPr>
            </w:pPr>
            <w:r>
              <w:rPr>
                <w:rFonts w:ascii="Verdana" w:hAnsi="Verdana" w:cs="Tahoma"/>
                <w:sz w:val="18"/>
                <w:szCs w:val="18"/>
              </w:rPr>
              <w:t>20%</w:t>
            </w:r>
          </w:p>
        </w:tc>
        <w:tc>
          <w:tcPr>
            <w:tcW w:w="2504" w:type="dxa"/>
            <w:tcBorders>
              <w:top w:val="single" w:sz="8" w:space="0" w:color="00000A"/>
              <w:left w:val="single" w:sz="8" w:space="0" w:color="00000A"/>
              <w:bottom w:val="single" w:sz="8" w:space="0" w:color="00000A"/>
              <w:right w:val="single" w:sz="8" w:space="0" w:color="00000A"/>
            </w:tcBorders>
            <w:shd w:val="clear" w:color="auto" w:fill="auto"/>
            <w:tcMar>
              <w:left w:w="50" w:type="dxa"/>
            </w:tcMar>
            <w:vAlign w:val="center"/>
          </w:tcPr>
          <w:p w14:paraId="4860D643" w14:textId="77777777" w:rsidR="00C7161D" w:rsidRPr="003358BE" w:rsidRDefault="00C7161D" w:rsidP="008F052C">
            <w:pPr>
              <w:pStyle w:val="Default"/>
              <w:jc w:val="center"/>
              <w:rPr>
                <w:rFonts w:ascii="Verdana" w:hAnsi="Verdana"/>
                <w:sz w:val="20"/>
                <w:szCs w:val="20"/>
              </w:rPr>
            </w:pPr>
            <w:r>
              <w:rPr>
                <w:rFonts w:ascii="Verdana" w:hAnsi="Verdana"/>
                <w:sz w:val="20"/>
                <w:szCs w:val="20"/>
              </w:rPr>
              <w:t>Gestione dei rapporti tra Ufficio Unico dei Tributi e Uffici Finanziari comunali</w:t>
            </w:r>
          </w:p>
          <w:p w14:paraId="460898D0" w14:textId="77777777" w:rsidR="00C7161D" w:rsidRDefault="00C7161D" w:rsidP="008F052C">
            <w:pPr>
              <w:pStyle w:val="Default"/>
              <w:jc w:val="center"/>
              <w:rPr>
                <w:rFonts w:ascii="Verdana" w:hAnsi="Verdana"/>
                <w:sz w:val="20"/>
                <w:szCs w:val="20"/>
              </w:rPr>
            </w:pPr>
          </w:p>
        </w:tc>
        <w:tc>
          <w:tcPr>
            <w:tcW w:w="666" w:type="dxa"/>
            <w:tcBorders>
              <w:top w:val="single" w:sz="8" w:space="0" w:color="00000A"/>
              <w:left w:val="single" w:sz="8" w:space="0" w:color="00000A"/>
              <w:bottom w:val="single" w:sz="8" w:space="0" w:color="00000A"/>
              <w:right w:val="single" w:sz="8" w:space="0" w:color="00000A"/>
            </w:tcBorders>
            <w:shd w:val="clear" w:color="auto" w:fill="auto"/>
            <w:tcMar>
              <w:left w:w="50" w:type="dxa"/>
            </w:tcMar>
            <w:vAlign w:val="center"/>
          </w:tcPr>
          <w:p w14:paraId="52DB408C" w14:textId="77777777" w:rsidR="00C7161D" w:rsidRDefault="00C7161D" w:rsidP="008F052C">
            <w:pPr>
              <w:jc w:val="center"/>
              <w:rPr>
                <w:rFonts w:ascii="Verdana" w:hAnsi="Verdana" w:cs="Tahoma"/>
                <w:sz w:val="18"/>
                <w:szCs w:val="18"/>
              </w:rPr>
            </w:pPr>
            <w:r>
              <w:rPr>
                <w:rFonts w:ascii="Verdana" w:hAnsi="Verdana" w:cs="Tahoma"/>
                <w:sz w:val="18"/>
                <w:szCs w:val="18"/>
              </w:rPr>
              <w:t>20%</w:t>
            </w:r>
          </w:p>
        </w:tc>
        <w:tc>
          <w:tcPr>
            <w:tcW w:w="588" w:type="dxa"/>
            <w:tcBorders>
              <w:top w:val="single" w:sz="8" w:space="0" w:color="00000A"/>
              <w:left w:val="single" w:sz="8" w:space="0" w:color="00000A"/>
              <w:bottom w:val="single" w:sz="8" w:space="0" w:color="00000A"/>
              <w:right w:val="single" w:sz="8" w:space="0" w:color="00000A"/>
            </w:tcBorders>
            <w:shd w:val="clear" w:color="auto" w:fill="auto"/>
            <w:tcMar>
              <w:left w:w="50" w:type="dxa"/>
            </w:tcMar>
            <w:vAlign w:val="center"/>
          </w:tcPr>
          <w:p w14:paraId="404824A9" w14:textId="77777777" w:rsidR="00C7161D" w:rsidRDefault="00C7161D" w:rsidP="008F052C">
            <w:pPr>
              <w:jc w:val="center"/>
              <w:rPr>
                <w:rFonts w:ascii="Verdana" w:hAnsi="Verdana" w:cs="Tahoma"/>
                <w:sz w:val="18"/>
                <w:szCs w:val="18"/>
              </w:rPr>
            </w:pPr>
            <w:r>
              <w:rPr>
                <w:rFonts w:ascii="Verdana" w:hAnsi="Verdana" w:cs="Tahoma"/>
                <w:sz w:val="18"/>
                <w:szCs w:val="18"/>
              </w:rPr>
              <w:t>40%</w:t>
            </w:r>
          </w:p>
        </w:tc>
        <w:tc>
          <w:tcPr>
            <w:tcW w:w="679" w:type="dxa"/>
            <w:tcBorders>
              <w:top w:val="single" w:sz="8" w:space="0" w:color="00000A"/>
              <w:left w:val="single" w:sz="8" w:space="0" w:color="00000A"/>
              <w:bottom w:val="single" w:sz="8" w:space="0" w:color="00000A"/>
              <w:right w:val="single" w:sz="8" w:space="0" w:color="00000A"/>
            </w:tcBorders>
            <w:shd w:val="clear" w:color="auto" w:fill="auto"/>
            <w:tcMar>
              <w:left w:w="50" w:type="dxa"/>
            </w:tcMar>
            <w:vAlign w:val="center"/>
          </w:tcPr>
          <w:p w14:paraId="2AB32D28" w14:textId="77777777" w:rsidR="00C7161D" w:rsidRDefault="00C7161D" w:rsidP="008F052C">
            <w:pPr>
              <w:jc w:val="center"/>
              <w:rPr>
                <w:rFonts w:ascii="Verdana" w:hAnsi="Verdana" w:cs="Tahoma"/>
                <w:sz w:val="18"/>
                <w:szCs w:val="18"/>
              </w:rPr>
            </w:pPr>
            <w:r>
              <w:rPr>
                <w:rFonts w:ascii="Verdana" w:hAnsi="Verdana" w:cs="Tahoma"/>
                <w:sz w:val="18"/>
                <w:szCs w:val="18"/>
              </w:rPr>
              <w:t>100%</w:t>
            </w:r>
          </w:p>
        </w:tc>
        <w:tc>
          <w:tcPr>
            <w:tcW w:w="2843" w:type="dxa"/>
            <w:tcBorders>
              <w:top w:val="single" w:sz="8" w:space="0" w:color="00000A"/>
              <w:left w:val="single" w:sz="8" w:space="0" w:color="00000A"/>
              <w:bottom w:val="single" w:sz="8" w:space="0" w:color="00000A"/>
              <w:right w:val="single" w:sz="8" w:space="0" w:color="00000A"/>
            </w:tcBorders>
            <w:shd w:val="clear" w:color="auto" w:fill="auto"/>
            <w:tcMar>
              <w:left w:w="50" w:type="dxa"/>
            </w:tcMar>
            <w:vAlign w:val="center"/>
          </w:tcPr>
          <w:p w14:paraId="36D80F21" w14:textId="77777777" w:rsidR="00C7161D" w:rsidRDefault="00C7161D" w:rsidP="008F052C">
            <w:pPr>
              <w:pStyle w:val="Paragrafoelenco"/>
              <w:rPr>
                <w:rFonts w:ascii="Verdana" w:hAnsi="Verdana"/>
                <w:sz w:val="20"/>
                <w:szCs w:val="20"/>
              </w:rPr>
            </w:pPr>
            <w:r>
              <w:rPr>
                <w:rFonts w:ascii="Verdana" w:hAnsi="Verdana"/>
                <w:sz w:val="20"/>
                <w:szCs w:val="20"/>
              </w:rPr>
              <w:t xml:space="preserve">Organizzare almeno </w:t>
            </w:r>
            <w:proofErr w:type="gramStart"/>
            <w:r>
              <w:rPr>
                <w:rFonts w:ascii="Verdana" w:hAnsi="Verdana"/>
                <w:sz w:val="20"/>
                <w:szCs w:val="20"/>
              </w:rPr>
              <w:t>3</w:t>
            </w:r>
            <w:proofErr w:type="gramEnd"/>
            <w:r>
              <w:rPr>
                <w:rFonts w:ascii="Verdana" w:hAnsi="Verdana"/>
                <w:sz w:val="20"/>
                <w:szCs w:val="20"/>
              </w:rPr>
              <w:t xml:space="preserve"> incontri quadrimestrali con i Responsabili dei Servizi Finanziari</w:t>
            </w:r>
          </w:p>
        </w:tc>
        <w:tc>
          <w:tcPr>
            <w:tcW w:w="2711" w:type="dxa"/>
            <w:tcBorders>
              <w:top w:val="single" w:sz="8" w:space="0" w:color="00000A"/>
              <w:left w:val="single" w:sz="8" w:space="0" w:color="00000A"/>
              <w:bottom w:val="single" w:sz="8" w:space="0" w:color="00000A"/>
              <w:right w:val="single" w:sz="8" w:space="0" w:color="00000A"/>
            </w:tcBorders>
            <w:shd w:val="clear" w:color="auto" w:fill="auto"/>
            <w:tcMar>
              <w:left w:w="50" w:type="dxa"/>
            </w:tcMar>
            <w:vAlign w:val="center"/>
          </w:tcPr>
          <w:p w14:paraId="19C9364A" w14:textId="77777777" w:rsidR="00724595" w:rsidRDefault="00724595" w:rsidP="00724595">
            <w:pPr>
              <w:tabs>
                <w:tab w:val="left" w:pos="3240"/>
              </w:tabs>
              <w:jc w:val="both"/>
              <w:rPr>
                <w:rFonts w:ascii="Verdana" w:hAnsi="Verdana"/>
                <w:sz w:val="20"/>
                <w:szCs w:val="20"/>
              </w:rPr>
            </w:pPr>
            <w:r>
              <w:rPr>
                <w:rFonts w:ascii="Verdana" w:hAnsi="Verdana"/>
                <w:sz w:val="20"/>
                <w:szCs w:val="20"/>
              </w:rPr>
              <w:t>la gestione dei Tributi in Unione comporta strette interrelazioni con gli uffici finanziari dei Comuni, in quanto le entrate tributarie sono di competenza dei singoli comuni.</w:t>
            </w:r>
          </w:p>
          <w:p w14:paraId="57346B6E" w14:textId="77777777" w:rsidR="00724595" w:rsidRDefault="00724595" w:rsidP="00724595">
            <w:pPr>
              <w:tabs>
                <w:tab w:val="left" w:pos="3240"/>
              </w:tabs>
              <w:jc w:val="both"/>
              <w:rPr>
                <w:rFonts w:ascii="Verdana" w:hAnsi="Verdana"/>
                <w:sz w:val="20"/>
                <w:szCs w:val="20"/>
              </w:rPr>
            </w:pPr>
            <w:r>
              <w:rPr>
                <w:rFonts w:ascii="Verdana" w:hAnsi="Verdana"/>
                <w:sz w:val="20"/>
                <w:szCs w:val="20"/>
              </w:rPr>
              <w:t xml:space="preserve">La rendicontazione dell’attività dell’Ufficio Tributi implica quindi la necessità di comunicazione tutte le tipologie di accertamento d’entrata suddivise per tributo, sanzioni ed interessi. Anche la gestione dei crediti inesigibili comporta una stretta comunicazione tra </w:t>
            </w:r>
            <w:r>
              <w:rPr>
                <w:rFonts w:ascii="Verdana" w:hAnsi="Verdana"/>
                <w:sz w:val="20"/>
                <w:szCs w:val="20"/>
              </w:rPr>
              <w:lastRenderedPageBreak/>
              <w:t>l’Ufficio Tributi e gli uffici finanziari dei comuni. queste criticità sono state accentuate dall’entrata in vigore della c.d. “contabilità armonizzata”.</w:t>
            </w:r>
          </w:p>
          <w:p w14:paraId="110A3DCB" w14:textId="77777777" w:rsidR="00C7161D" w:rsidRDefault="00C7161D" w:rsidP="008F052C">
            <w:pPr>
              <w:ind w:left="360"/>
              <w:jc w:val="center"/>
              <w:rPr>
                <w:rFonts w:ascii="Verdana" w:hAnsi="Verdana" w:cs="Tahoma"/>
                <w:sz w:val="18"/>
                <w:szCs w:val="18"/>
              </w:rPr>
            </w:pPr>
          </w:p>
        </w:tc>
        <w:tc>
          <w:tcPr>
            <w:tcW w:w="2606" w:type="dxa"/>
            <w:tcBorders>
              <w:top w:val="single" w:sz="8" w:space="0" w:color="00000A"/>
              <w:left w:val="single" w:sz="8" w:space="0" w:color="00000A"/>
              <w:bottom w:val="single" w:sz="8" w:space="0" w:color="00000A"/>
              <w:right w:val="single" w:sz="8" w:space="0" w:color="00000A"/>
            </w:tcBorders>
            <w:shd w:val="clear" w:color="auto" w:fill="auto"/>
            <w:tcMar>
              <w:left w:w="50" w:type="dxa"/>
            </w:tcMar>
          </w:tcPr>
          <w:p w14:paraId="50F15EA0" w14:textId="77777777" w:rsidR="00724595" w:rsidRDefault="00724595" w:rsidP="00724595">
            <w:pPr>
              <w:tabs>
                <w:tab w:val="left" w:pos="3240"/>
              </w:tabs>
              <w:jc w:val="both"/>
              <w:rPr>
                <w:rFonts w:ascii="Verdana" w:hAnsi="Verdana"/>
                <w:sz w:val="20"/>
                <w:szCs w:val="20"/>
              </w:rPr>
            </w:pPr>
            <w:r>
              <w:rPr>
                <w:rFonts w:ascii="Verdana" w:hAnsi="Verdana"/>
                <w:sz w:val="20"/>
                <w:szCs w:val="20"/>
              </w:rPr>
              <w:lastRenderedPageBreak/>
              <w:t xml:space="preserve">Nel corso del 2020 sono stati organizzati </w:t>
            </w:r>
            <w:r w:rsidRPr="002F687D">
              <w:rPr>
                <w:rFonts w:ascii="Verdana" w:hAnsi="Verdana"/>
                <w:b/>
                <w:sz w:val="20"/>
                <w:szCs w:val="20"/>
              </w:rPr>
              <w:t>quattro incontri</w:t>
            </w:r>
            <w:r>
              <w:rPr>
                <w:rFonts w:ascii="Verdana" w:hAnsi="Verdana"/>
                <w:sz w:val="20"/>
                <w:szCs w:val="20"/>
              </w:rPr>
              <w:t xml:space="preserve"> tra l’ufficio tributi e gli uffici finanziari, volti ad uniformare le modalità di comunicazione e trasmissione dati.</w:t>
            </w:r>
          </w:p>
          <w:p w14:paraId="56C7FDB6" w14:textId="77777777" w:rsidR="00C7161D" w:rsidRDefault="00C7161D" w:rsidP="008F052C">
            <w:pPr>
              <w:ind w:left="360"/>
              <w:jc w:val="center"/>
            </w:pPr>
          </w:p>
        </w:tc>
      </w:tr>
      <w:tr w:rsidR="00C7161D" w14:paraId="21703092" w14:textId="77777777" w:rsidTr="008F052C">
        <w:trPr>
          <w:jc w:val="center"/>
        </w:trPr>
        <w:tc>
          <w:tcPr>
            <w:tcW w:w="405" w:type="dxa"/>
            <w:tcBorders>
              <w:top w:val="single" w:sz="8" w:space="0" w:color="00000A"/>
              <w:left w:val="single" w:sz="8" w:space="0" w:color="00000A"/>
              <w:bottom w:val="single" w:sz="8" w:space="0" w:color="00000A"/>
              <w:right w:val="single" w:sz="8" w:space="0" w:color="00000A"/>
            </w:tcBorders>
            <w:shd w:val="clear" w:color="auto" w:fill="auto"/>
            <w:tcMar>
              <w:left w:w="50" w:type="dxa"/>
            </w:tcMar>
            <w:vAlign w:val="center"/>
          </w:tcPr>
          <w:p w14:paraId="786CD956" w14:textId="77777777" w:rsidR="00C7161D" w:rsidRDefault="00C7161D" w:rsidP="008F052C">
            <w:pPr>
              <w:tabs>
                <w:tab w:val="left" w:pos="709"/>
              </w:tabs>
              <w:overflowPunct w:val="0"/>
              <w:jc w:val="center"/>
              <w:rPr>
                <w:rFonts w:ascii="Verdana" w:hAnsi="Verdana" w:cs="Tahoma"/>
                <w:sz w:val="18"/>
                <w:szCs w:val="18"/>
              </w:rPr>
            </w:pPr>
            <w:r>
              <w:rPr>
                <w:rFonts w:ascii="Verdana" w:hAnsi="Verdana" w:cs="Tahoma"/>
                <w:sz w:val="18"/>
                <w:szCs w:val="18"/>
              </w:rPr>
              <w:t>2</w:t>
            </w:r>
          </w:p>
        </w:tc>
        <w:tc>
          <w:tcPr>
            <w:tcW w:w="1483" w:type="dxa"/>
            <w:tcBorders>
              <w:top w:val="single" w:sz="8" w:space="0" w:color="00000A"/>
              <w:left w:val="single" w:sz="8" w:space="0" w:color="00000A"/>
              <w:bottom w:val="single" w:sz="8" w:space="0" w:color="00000A"/>
              <w:right w:val="single" w:sz="8" w:space="0" w:color="00000A"/>
            </w:tcBorders>
            <w:shd w:val="clear" w:color="auto" w:fill="auto"/>
            <w:tcMar>
              <w:left w:w="50" w:type="dxa"/>
            </w:tcMar>
            <w:vAlign w:val="center"/>
          </w:tcPr>
          <w:p w14:paraId="02DABF91" w14:textId="77777777" w:rsidR="00C7161D" w:rsidRPr="00C7161D" w:rsidRDefault="00C7161D" w:rsidP="008F052C">
            <w:pPr>
              <w:tabs>
                <w:tab w:val="left" w:pos="709"/>
              </w:tabs>
              <w:jc w:val="center"/>
              <w:rPr>
                <w:rFonts w:ascii="Verdana" w:hAnsi="Verdana" w:cs="Tahoma"/>
                <w:sz w:val="18"/>
                <w:szCs w:val="18"/>
              </w:rPr>
            </w:pPr>
            <w:r w:rsidRPr="00C7161D">
              <w:rPr>
                <w:rFonts w:ascii="Verdana" w:hAnsi="Verdana" w:cs="Tahoma"/>
                <w:sz w:val="18"/>
                <w:szCs w:val="18"/>
              </w:rPr>
              <w:t>40%</w:t>
            </w:r>
          </w:p>
        </w:tc>
        <w:tc>
          <w:tcPr>
            <w:tcW w:w="2504" w:type="dxa"/>
            <w:tcBorders>
              <w:top w:val="single" w:sz="8" w:space="0" w:color="00000A"/>
              <w:left w:val="single" w:sz="8" w:space="0" w:color="00000A"/>
              <w:bottom w:val="single" w:sz="8" w:space="0" w:color="00000A"/>
              <w:right w:val="single" w:sz="8" w:space="0" w:color="00000A"/>
            </w:tcBorders>
            <w:shd w:val="clear" w:color="auto" w:fill="auto"/>
            <w:tcMar>
              <w:left w:w="50" w:type="dxa"/>
            </w:tcMar>
            <w:vAlign w:val="center"/>
          </w:tcPr>
          <w:p w14:paraId="1CF3D2F4" w14:textId="77777777" w:rsidR="00C7161D" w:rsidRPr="00C7161D" w:rsidRDefault="00C7161D" w:rsidP="008F052C">
            <w:pPr>
              <w:pStyle w:val="Default"/>
              <w:jc w:val="center"/>
              <w:rPr>
                <w:rFonts w:ascii="Verdana" w:hAnsi="Verdana"/>
                <w:color w:val="auto"/>
                <w:sz w:val="20"/>
                <w:szCs w:val="20"/>
              </w:rPr>
            </w:pPr>
          </w:p>
          <w:p w14:paraId="50F093BD" w14:textId="77777777" w:rsidR="00C7161D" w:rsidRPr="00C7161D" w:rsidRDefault="00C7161D" w:rsidP="008F052C">
            <w:pPr>
              <w:pStyle w:val="Default"/>
              <w:jc w:val="center"/>
              <w:rPr>
                <w:rFonts w:ascii="Verdana" w:hAnsi="Verdana"/>
                <w:color w:val="auto"/>
                <w:sz w:val="20"/>
                <w:szCs w:val="20"/>
              </w:rPr>
            </w:pPr>
            <w:r w:rsidRPr="00C7161D">
              <w:rPr>
                <w:rFonts w:ascii="Verdana" w:hAnsi="Verdana"/>
                <w:color w:val="auto"/>
                <w:sz w:val="20"/>
                <w:szCs w:val="20"/>
              </w:rPr>
              <w:t xml:space="preserve">Predisposizione di un sistema di </w:t>
            </w:r>
            <w:proofErr w:type="gramStart"/>
            <w:r w:rsidRPr="00C7161D">
              <w:rPr>
                <w:rFonts w:ascii="Verdana" w:hAnsi="Verdana"/>
                <w:color w:val="auto"/>
                <w:sz w:val="20"/>
                <w:szCs w:val="20"/>
              </w:rPr>
              <w:t>riduzioni</w:t>
            </w:r>
            <w:proofErr w:type="gramEnd"/>
            <w:r w:rsidRPr="00C7161D">
              <w:rPr>
                <w:rFonts w:ascii="Verdana" w:hAnsi="Verdana"/>
                <w:color w:val="auto"/>
                <w:sz w:val="20"/>
                <w:szCs w:val="20"/>
              </w:rPr>
              <w:t xml:space="preserve"> Tari per utenze non domestiche</w:t>
            </w:r>
          </w:p>
          <w:p w14:paraId="386093E0" w14:textId="77777777" w:rsidR="00C7161D" w:rsidRPr="00C7161D" w:rsidRDefault="00C7161D" w:rsidP="008F052C">
            <w:pPr>
              <w:pStyle w:val="Default"/>
              <w:jc w:val="center"/>
              <w:rPr>
                <w:rFonts w:ascii="Verdana" w:hAnsi="Verdana"/>
                <w:color w:val="auto"/>
                <w:sz w:val="20"/>
                <w:szCs w:val="20"/>
              </w:rPr>
            </w:pPr>
          </w:p>
        </w:tc>
        <w:tc>
          <w:tcPr>
            <w:tcW w:w="666" w:type="dxa"/>
            <w:tcBorders>
              <w:top w:val="single" w:sz="8" w:space="0" w:color="00000A"/>
              <w:left w:val="single" w:sz="8" w:space="0" w:color="00000A"/>
              <w:bottom w:val="single" w:sz="8" w:space="0" w:color="00000A"/>
              <w:right w:val="single" w:sz="8" w:space="0" w:color="00000A"/>
            </w:tcBorders>
            <w:shd w:val="clear" w:color="auto" w:fill="auto"/>
            <w:tcMar>
              <w:left w:w="50" w:type="dxa"/>
            </w:tcMar>
            <w:vAlign w:val="center"/>
          </w:tcPr>
          <w:p w14:paraId="6C15C686" w14:textId="77777777" w:rsidR="00C7161D" w:rsidRPr="00C7161D" w:rsidRDefault="00C7161D" w:rsidP="008F052C">
            <w:pPr>
              <w:jc w:val="center"/>
              <w:rPr>
                <w:rFonts w:ascii="Verdana" w:hAnsi="Verdana" w:cs="Tahoma"/>
                <w:sz w:val="18"/>
                <w:szCs w:val="18"/>
              </w:rPr>
            </w:pPr>
            <w:r w:rsidRPr="00C7161D">
              <w:rPr>
                <w:rFonts w:ascii="Verdana" w:hAnsi="Verdana" w:cs="Tahoma"/>
                <w:sz w:val="18"/>
                <w:szCs w:val="18"/>
              </w:rPr>
              <w:t>30%</w:t>
            </w:r>
          </w:p>
        </w:tc>
        <w:tc>
          <w:tcPr>
            <w:tcW w:w="588" w:type="dxa"/>
            <w:tcBorders>
              <w:top w:val="single" w:sz="8" w:space="0" w:color="00000A"/>
              <w:left w:val="single" w:sz="8" w:space="0" w:color="00000A"/>
              <w:bottom w:val="single" w:sz="8" w:space="0" w:color="00000A"/>
              <w:right w:val="single" w:sz="8" w:space="0" w:color="00000A"/>
            </w:tcBorders>
            <w:shd w:val="clear" w:color="auto" w:fill="auto"/>
            <w:tcMar>
              <w:left w:w="50" w:type="dxa"/>
            </w:tcMar>
            <w:vAlign w:val="center"/>
          </w:tcPr>
          <w:p w14:paraId="1A6DEDD4" w14:textId="77777777" w:rsidR="00C7161D" w:rsidRPr="00C7161D" w:rsidRDefault="00C7161D" w:rsidP="008F052C">
            <w:pPr>
              <w:jc w:val="center"/>
              <w:rPr>
                <w:rFonts w:ascii="Verdana" w:hAnsi="Verdana" w:cs="Tahoma"/>
                <w:sz w:val="18"/>
                <w:szCs w:val="18"/>
              </w:rPr>
            </w:pPr>
            <w:r w:rsidRPr="00C7161D">
              <w:rPr>
                <w:rFonts w:ascii="Verdana" w:hAnsi="Verdana" w:cs="Tahoma"/>
                <w:sz w:val="18"/>
                <w:szCs w:val="18"/>
              </w:rPr>
              <w:t>60%</w:t>
            </w:r>
          </w:p>
        </w:tc>
        <w:tc>
          <w:tcPr>
            <w:tcW w:w="679" w:type="dxa"/>
            <w:tcBorders>
              <w:top w:val="single" w:sz="8" w:space="0" w:color="00000A"/>
              <w:left w:val="single" w:sz="8" w:space="0" w:color="00000A"/>
              <w:bottom w:val="single" w:sz="8" w:space="0" w:color="00000A"/>
              <w:right w:val="single" w:sz="8" w:space="0" w:color="00000A"/>
            </w:tcBorders>
            <w:shd w:val="clear" w:color="auto" w:fill="auto"/>
            <w:tcMar>
              <w:left w:w="50" w:type="dxa"/>
            </w:tcMar>
            <w:vAlign w:val="center"/>
          </w:tcPr>
          <w:p w14:paraId="0649AE45" w14:textId="77777777" w:rsidR="00C7161D" w:rsidRPr="00C7161D" w:rsidRDefault="00C7161D" w:rsidP="008F052C">
            <w:pPr>
              <w:tabs>
                <w:tab w:val="left" w:pos="193"/>
              </w:tabs>
              <w:jc w:val="center"/>
              <w:rPr>
                <w:rFonts w:ascii="Verdana" w:hAnsi="Verdana" w:cs="Tahoma"/>
                <w:sz w:val="18"/>
                <w:szCs w:val="18"/>
              </w:rPr>
            </w:pPr>
            <w:r w:rsidRPr="00C7161D">
              <w:rPr>
                <w:rFonts w:ascii="Verdana" w:hAnsi="Verdana" w:cs="Tahoma"/>
                <w:sz w:val="18"/>
                <w:szCs w:val="18"/>
              </w:rPr>
              <w:t>100%</w:t>
            </w:r>
          </w:p>
        </w:tc>
        <w:tc>
          <w:tcPr>
            <w:tcW w:w="2843" w:type="dxa"/>
            <w:tcBorders>
              <w:top w:val="single" w:sz="8" w:space="0" w:color="00000A"/>
              <w:left w:val="single" w:sz="8" w:space="0" w:color="00000A"/>
              <w:bottom w:val="single" w:sz="8" w:space="0" w:color="00000A"/>
              <w:right w:val="single" w:sz="8" w:space="0" w:color="00000A"/>
            </w:tcBorders>
            <w:shd w:val="clear" w:color="auto" w:fill="auto"/>
            <w:tcMar>
              <w:left w:w="50" w:type="dxa"/>
            </w:tcMar>
            <w:vAlign w:val="center"/>
          </w:tcPr>
          <w:p w14:paraId="53AF2EC9" w14:textId="77777777" w:rsidR="00C7161D" w:rsidRPr="00C7161D" w:rsidRDefault="00C7161D" w:rsidP="008F052C">
            <w:pPr>
              <w:pStyle w:val="Paragrafoelenco"/>
              <w:jc w:val="both"/>
              <w:rPr>
                <w:rFonts w:ascii="Verdana" w:hAnsi="Verdana"/>
                <w:sz w:val="20"/>
                <w:szCs w:val="20"/>
              </w:rPr>
            </w:pPr>
            <w:r w:rsidRPr="00C7161D">
              <w:rPr>
                <w:rFonts w:ascii="Verdana" w:hAnsi="Verdana"/>
                <w:sz w:val="20"/>
                <w:szCs w:val="20"/>
              </w:rPr>
              <w:t xml:space="preserve">Delibera avente ad oggetto disposizione </w:t>
            </w:r>
            <w:proofErr w:type="gramStart"/>
            <w:r w:rsidRPr="00C7161D">
              <w:rPr>
                <w:rFonts w:ascii="Verdana" w:hAnsi="Verdana"/>
                <w:sz w:val="20"/>
                <w:szCs w:val="20"/>
              </w:rPr>
              <w:t>regolamentari</w:t>
            </w:r>
            <w:proofErr w:type="gramEnd"/>
            <w:r w:rsidRPr="00C7161D">
              <w:rPr>
                <w:rFonts w:ascii="Verdana" w:hAnsi="Verdana"/>
                <w:sz w:val="20"/>
                <w:szCs w:val="20"/>
              </w:rPr>
              <w:t xml:space="preserve"> Tari per il 2020</w:t>
            </w:r>
          </w:p>
        </w:tc>
        <w:tc>
          <w:tcPr>
            <w:tcW w:w="2711" w:type="dxa"/>
            <w:tcBorders>
              <w:top w:val="single" w:sz="8" w:space="0" w:color="00000A"/>
              <w:left w:val="single" w:sz="8" w:space="0" w:color="00000A"/>
              <w:bottom w:val="single" w:sz="8" w:space="0" w:color="00000A"/>
              <w:right w:val="single" w:sz="8" w:space="0" w:color="00000A"/>
            </w:tcBorders>
            <w:shd w:val="clear" w:color="auto" w:fill="auto"/>
            <w:tcMar>
              <w:left w:w="50" w:type="dxa"/>
            </w:tcMar>
            <w:vAlign w:val="center"/>
          </w:tcPr>
          <w:p w14:paraId="02A2A4D2" w14:textId="77777777" w:rsidR="00C7161D" w:rsidRPr="00C7161D" w:rsidRDefault="00C7161D" w:rsidP="008F052C">
            <w:pPr>
              <w:tabs>
                <w:tab w:val="left" w:pos="3240"/>
              </w:tabs>
              <w:ind w:left="360"/>
              <w:jc w:val="both"/>
              <w:rPr>
                <w:rFonts w:ascii="Verdana" w:hAnsi="Verdana" w:cs="Tahoma"/>
                <w:sz w:val="18"/>
                <w:szCs w:val="18"/>
              </w:rPr>
            </w:pPr>
            <w:r w:rsidRPr="00C7161D">
              <w:rPr>
                <w:rFonts w:ascii="Verdana" w:hAnsi="Verdana" w:cs="Tahoma"/>
                <w:sz w:val="18"/>
                <w:szCs w:val="18"/>
              </w:rPr>
              <w:t xml:space="preserve">L’obiettivo riguarda la predisposizione di un sistema di </w:t>
            </w:r>
            <w:proofErr w:type="gramStart"/>
            <w:r w:rsidRPr="00C7161D">
              <w:rPr>
                <w:rFonts w:ascii="Verdana" w:hAnsi="Verdana" w:cs="Tahoma"/>
                <w:sz w:val="18"/>
                <w:szCs w:val="18"/>
              </w:rPr>
              <w:t>riduzioni</w:t>
            </w:r>
            <w:proofErr w:type="gramEnd"/>
            <w:r w:rsidRPr="00C7161D">
              <w:rPr>
                <w:rFonts w:ascii="Verdana" w:hAnsi="Verdana" w:cs="Tahoma"/>
                <w:sz w:val="18"/>
                <w:szCs w:val="18"/>
              </w:rPr>
              <w:t xml:space="preserve"> Tari per le utenze non domestiche oggetto di chiusura forzata delle attività (per periodi differenziati) a seguito del lockdown</w:t>
            </w:r>
          </w:p>
        </w:tc>
        <w:tc>
          <w:tcPr>
            <w:tcW w:w="2606" w:type="dxa"/>
            <w:tcBorders>
              <w:top w:val="single" w:sz="8" w:space="0" w:color="00000A"/>
              <w:left w:val="single" w:sz="8" w:space="0" w:color="00000A"/>
              <w:bottom w:val="single" w:sz="8" w:space="0" w:color="00000A"/>
              <w:right w:val="single" w:sz="8" w:space="0" w:color="00000A"/>
            </w:tcBorders>
            <w:shd w:val="clear" w:color="auto" w:fill="auto"/>
            <w:tcMar>
              <w:left w:w="50" w:type="dxa"/>
            </w:tcMar>
          </w:tcPr>
          <w:p w14:paraId="3499D0ED" w14:textId="77777777" w:rsidR="00724595" w:rsidRDefault="00724595" w:rsidP="00724595">
            <w:pPr>
              <w:pStyle w:val="Default"/>
              <w:rPr>
                <w:rFonts w:ascii="Verdana" w:hAnsi="Verdana"/>
                <w:sz w:val="20"/>
                <w:szCs w:val="20"/>
              </w:rPr>
            </w:pPr>
            <w:r>
              <w:rPr>
                <w:rFonts w:ascii="Verdana" w:hAnsi="Verdana"/>
                <w:sz w:val="20"/>
                <w:szCs w:val="20"/>
              </w:rPr>
              <w:t>nel corso del 2020, a causa dell’emergenza sanitaria, sono state disposte dal Governo misure restrittive che hanno imposto la chiusura di determinate categorie di imprese.</w:t>
            </w:r>
          </w:p>
          <w:p w14:paraId="0BF0D644" w14:textId="77777777" w:rsidR="00724595" w:rsidRDefault="00724595" w:rsidP="00724595">
            <w:pPr>
              <w:pStyle w:val="Default"/>
              <w:rPr>
                <w:rFonts w:ascii="Verdana" w:hAnsi="Verdana"/>
                <w:sz w:val="20"/>
                <w:szCs w:val="20"/>
              </w:rPr>
            </w:pPr>
            <w:r>
              <w:rPr>
                <w:rFonts w:ascii="Verdana" w:hAnsi="Verdana"/>
                <w:sz w:val="20"/>
                <w:szCs w:val="20"/>
              </w:rPr>
              <w:t>Queste chiusure hanno portato l’</w:t>
            </w:r>
            <w:proofErr w:type="spellStart"/>
            <w:r>
              <w:rPr>
                <w:rFonts w:ascii="Verdana" w:hAnsi="Verdana"/>
                <w:sz w:val="20"/>
                <w:szCs w:val="20"/>
              </w:rPr>
              <w:t>Arera</w:t>
            </w:r>
            <w:proofErr w:type="spellEnd"/>
            <w:r>
              <w:rPr>
                <w:rFonts w:ascii="Verdana" w:hAnsi="Verdana"/>
                <w:sz w:val="20"/>
                <w:szCs w:val="20"/>
              </w:rPr>
              <w:t xml:space="preserve"> a introdurre, con la delibera 158/2020, riduzioni TARI obbligatorie nei confronti delle attività soggette a chiusura forzata,</w:t>
            </w:r>
          </w:p>
          <w:p w14:paraId="3158A1BB" w14:textId="77777777" w:rsidR="00724595" w:rsidRDefault="00724595" w:rsidP="00724595">
            <w:pPr>
              <w:pStyle w:val="Default"/>
              <w:rPr>
                <w:rFonts w:ascii="Verdana" w:hAnsi="Verdana"/>
                <w:sz w:val="20"/>
                <w:szCs w:val="20"/>
              </w:rPr>
            </w:pPr>
            <w:r>
              <w:rPr>
                <w:rFonts w:ascii="Verdana" w:hAnsi="Verdana"/>
                <w:sz w:val="20"/>
                <w:szCs w:val="20"/>
              </w:rPr>
              <w:t>A queste riduzioni obbligatorie, i Comuni potevano affiancare ulteriori riduzioni individuando le modalità di riconoscimento con apposita delibera, finanziandole con altre entrate del bilancio.</w:t>
            </w:r>
          </w:p>
          <w:p w14:paraId="30415129" w14:textId="77777777" w:rsidR="00724595" w:rsidRDefault="00724595" w:rsidP="00724595">
            <w:pPr>
              <w:pStyle w:val="Default"/>
              <w:rPr>
                <w:rFonts w:ascii="Verdana" w:hAnsi="Verdana"/>
                <w:sz w:val="20"/>
                <w:szCs w:val="20"/>
              </w:rPr>
            </w:pPr>
            <w:r>
              <w:rPr>
                <w:rFonts w:ascii="Verdana" w:hAnsi="Verdana"/>
                <w:sz w:val="20"/>
                <w:szCs w:val="20"/>
              </w:rPr>
              <w:t>L’ufficio Tributi, sentite le amministrazioni, ha predisposto un piano di riduz</w:t>
            </w:r>
            <w:r w:rsidR="00DC1842">
              <w:rPr>
                <w:rFonts w:ascii="Verdana" w:hAnsi="Verdana"/>
                <w:sz w:val="20"/>
                <w:szCs w:val="20"/>
              </w:rPr>
              <w:t xml:space="preserve">ioni basato sui </w:t>
            </w:r>
            <w:r w:rsidR="00DC1842">
              <w:rPr>
                <w:rFonts w:ascii="Verdana" w:hAnsi="Verdana"/>
                <w:sz w:val="20"/>
                <w:szCs w:val="20"/>
              </w:rPr>
              <w:lastRenderedPageBreak/>
              <w:t xml:space="preserve">codici </w:t>
            </w:r>
            <w:proofErr w:type="spellStart"/>
            <w:r w:rsidR="00DC1842">
              <w:rPr>
                <w:rFonts w:ascii="Verdana" w:hAnsi="Verdana"/>
                <w:sz w:val="20"/>
                <w:szCs w:val="20"/>
              </w:rPr>
              <w:t>Ateco</w:t>
            </w:r>
            <w:proofErr w:type="spellEnd"/>
            <w:r w:rsidR="00DC1842">
              <w:rPr>
                <w:rFonts w:ascii="Verdana" w:hAnsi="Verdana"/>
                <w:sz w:val="20"/>
                <w:szCs w:val="20"/>
              </w:rPr>
              <w:t xml:space="preserve"> per </w:t>
            </w:r>
            <w:r>
              <w:rPr>
                <w:rFonts w:ascii="Verdana" w:hAnsi="Verdana"/>
                <w:sz w:val="20"/>
                <w:szCs w:val="20"/>
              </w:rPr>
              <w:t>le attività</w:t>
            </w:r>
            <w:r w:rsidR="00DC1842">
              <w:rPr>
                <w:rFonts w:ascii="Verdana" w:hAnsi="Verdana"/>
                <w:sz w:val="20"/>
                <w:szCs w:val="20"/>
              </w:rPr>
              <w:t xml:space="preserve"> commerciali</w:t>
            </w:r>
            <w:r>
              <w:rPr>
                <w:rFonts w:ascii="Verdana" w:hAnsi="Verdana"/>
                <w:sz w:val="20"/>
                <w:szCs w:val="20"/>
              </w:rPr>
              <w:t xml:space="preserve"> e sulle autocertificazioni</w:t>
            </w:r>
            <w:r w:rsidR="00DC1842">
              <w:rPr>
                <w:rFonts w:ascii="Verdana" w:hAnsi="Verdana"/>
                <w:sz w:val="20"/>
                <w:szCs w:val="20"/>
              </w:rPr>
              <w:t xml:space="preserve"> per le attività industriali e commerciali</w:t>
            </w:r>
            <w:r>
              <w:rPr>
                <w:rFonts w:ascii="Verdana" w:hAnsi="Verdana"/>
                <w:sz w:val="20"/>
                <w:szCs w:val="20"/>
              </w:rPr>
              <w:t>, in modo da garantire riduzioni proporzionate al periodo di chiusura effettiva delle attività.</w:t>
            </w:r>
          </w:p>
          <w:p w14:paraId="54D35DA5" w14:textId="77777777" w:rsidR="00724595" w:rsidRDefault="00724595" w:rsidP="00724595">
            <w:pPr>
              <w:pStyle w:val="Default"/>
              <w:rPr>
                <w:rFonts w:ascii="Verdana" w:hAnsi="Verdana"/>
                <w:sz w:val="20"/>
                <w:szCs w:val="20"/>
              </w:rPr>
            </w:pPr>
            <w:r>
              <w:rPr>
                <w:rFonts w:ascii="Verdana" w:hAnsi="Verdana"/>
                <w:sz w:val="20"/>
                <w:szCs w:val="20"/>
              </w:rPr>
              <w:t>Si è potuto così quantificare economicamente le riduzioni da concedere, prevedendone la relativa copertura sui bilanci comunali.</w:t>
            </w:r>
          </w:p>
          <w:p w14:paraId="4BBC7548" w14:textId="77777777" w:rsidR="00724595" w:rsidRDefault="00724595" w:rsidP="00724595">
            <w:pPr>
              <w:pStyle w:val="Default"/>
              <w:rPr>
                <w:rFonts w:ascii="Verdana" w:hAnsi="Verdana"/>
                <w:sz w:val="20"/>
                <w:szCs w:val="20"/>
              </w:rPr>
            </w:pPr>
            <w:r>
              <w:rPr>
                <w:rFonts w:ascii="Verdana" w:hAnsi="Verdana"/>
                <w:sz w:val="20"/>
                <w:szCs w:val="20"/>
              </w:rPr>
              <w:t xml:space="preserve">L’ufficio ha altresì </w:t>
            </w:r>
            <w:r w:rsidR="00DC1842">
              <w:rPr>
                <w:rFonts w:ascii="Verdana" w:hAnsi="Verdana"/>
                <w:sz w:val="20"/>
                <w:szCs w:val="20"/>
              </w:rPr>
              <w:t xml:space="preserve">inviato, via pec, </w:t>
            </w:r>
            <w:proofErr w:type="gramStart"/>
            <w:r w:rsidR="00DC1842">
              <w:rPr>
                <w:rFonts w:ascii="Verdana" w:hAnsi="Verdana"/>
                <w:sz w:val="20"/>
                <w:szCs w:val="20"/>
              </w:rPr>
              <w:t>un’ informativa</w:t>
            </w:r>
            <w:proofErr w:type="gramEnd"/>
            <w:r w:rsidR="00DC1842">
              <w:rPr>
                <w:rFonts w:ascii="Verdana" w:hAnsi="Verdana"/>
                <w:sz w:val="20"/>
                <w:szCs w:val="20"/>
              </w:rPr>
              <w:t xml:space="preserve"> a tutte le imprese, in merito alle suddette riduzioni.</w:t>
            </w:r>
          </w:p>
          <w:p w14:paraId="17EC2C0B" w14:textId="77777777" w:rsidR="00DC1842" w:rsidRDefault="00DC1842" w:rsidP="00724595">
            <w:pPr>
              <w:pStyle w:val="Default"/>
              <w:rPr>
                <w:rFonts w:ascii="Verdana" w:hAnsi="Verdana"/>
                <w:sz w:val="20"/>
                <w:szCs w:val="20"/>
              </w:rPr>
            </w:pPr>
            <w:proofErr w:type="gramStart"/>
            <w:r>
              <w:rPr>
                <w:rFonts w:ascii="Verdana" w:hAnsi="Verdana"/>
                <w:sz w:val="20"/>
                <w:szCs w:val="20"/>
              </w:rPr>
              <w:t>Infine</w:t>
            </w:r>
            <w:proofErr w:type="gramEnd"/>
            <w:r>
              <w:rPr>
                <w:rFonts w:ascii="Verdana" w:hAnsi="Verdana"/>
                <w:sz w:val="20"/>
                <w:szCs w:val="20"/>
              </w:rPr>
              <w:t xml:space="preserve"> </w:t>
            </w:r>
            <w:r w:rsidRPr="002F687D">
              <w:rPr>
                <w:rFonts w:ascii="Verdana" w:hAnsi="Verdana"/>
                <w:b/>
                <w:sz w:val="20"/>
                <w:szCs w:val="20"/>
              </w:rPr>
              <w:t>le riduzioni sono state applicate in tariffa</w:t>
            </w:r>
            <w:r>
              <w:rPr>
                <w:rFonts w:ascii="Verdana" w:hAnsi="Verdana"/>
                <w:sz w:val="20"/>
                <w:szCs w:val="20"/>
              </w:rPr>
              <w:t xml:space="preserve"> con le seguenti modalità: </w:t>
            </w:r>
          </w:p>
          <w:p w14:paraId="5A625027" w14:textId="77777777" w:rsidR="00DC1842" w:rsidRDefault="00DC1842" w:rsidP="00724595">
            <w:pPr>
              <w:pStyle w:val="Default"/>
              <w:rPr>
                <w:rFonts w:ascii="Verdana" w:hAnsi="Verdana"/>
                <w:sz w:val="20"/>
                <w:szCs w:val="20"/>
              </w:rPr>
            </w:pPr>
            <w:r>
              <w:rPr>
                <w:rFonts w:ascii="Verdana" w:hAnsi="Verdana"/>
                <w:sz w:val="20"/>
                <w:szCs w:val="20"/>
              </w:rPr>
              <w:t xml:space="preserve">-25% di riduzione sulla Quota Variabile della tariffa nella prima </w:t>
            </w:r>
            <w:proofErr w:type="gramStart"/>
            <w:r>
              <w:rPr>
                <w:rFonts w:ascii="Verdana" w:hAnsi="Verdana"/>
                <w:sz w:val="20"/>
                <w:szCs w:val="20"/>
              </w:rPr>
              <w:t>rata</w:t>
            </w:r>
            <w:proofErr w:type="gramEnd"/>
            <w:r>
              <w:rPr>
                <w:rFonts w:ascii="Verdana" w:hAnsi="Verdana"/>
                <w:sz w:val="20"/>
                <w:szCs w:val="20"/>
              </w:rPr>
              <w:t xml:space="preserve"> Tari per tutte le utenze non domestiche;</w:t>
            </w:r>
          </w:p>
          <w:p w14:paraId="08A9BDD1" w14:textId="77777777" w:rsidR="00DC1842" w:rsidRPr="00D34641" w:rsidRDefault="00DC1842" w:rsidP="00724595">
            <w:pPr>
              <w:pStyle w:val="Default"/>
              <w:rPr>
                <w:rFonts w:ascii="Verdana" w:hAnsi="Verdana"/>
                <w:sz w:val="20"/>
                <w:szCs w:val="20"/>
              </w:rPr>
            </w:pPr>
            <w:r>
              <w:rPr>
                <w:rFonts w:ascii="Verdana" w:hAnsi="Verdana"/>
                <w:sz w:val="20"/>
                <w:szCs w:val="20"/>
              </w:rPr>
              <w:t>- conguaglio puntuale sulla base dell’effettivo periodo di chiusura nella seconda rata Tari.</w:t>
            </w:r>
          </w:p>
          <w:p w14:paraId="72E39FA3" w14:textId="77777777" w:rsidR="00C7161D" w:rsidRDefault="00C7161D" w:rsidP="008F052C">
            <w:pPr>
              <w:ind w:left="360"/>
              <w:jc w:val="center"/>
              <w:rPr>
                <w:rFonts w:ascii="Verdana" w:hAnsi="Verdana"/>
                <w:sz w:val="20"/>
                <w:szCs w:val="20"/>
              </w:rPr>
            </w:pPr>
          </w:p>
        </w:tc>
      </w:tr>
      <w:tr w:rsidR="00C7161D" w14:paraId="5EACB408" w14:textId="77777777" w:rsidTr="008F052C">
        <w:trPr>
          <w:jc w:val="center"/>
        </w:trPr>
        <w:tc>
          <w:tcPr>
            <w:tcW w:w="405" w:type="dxa"/>
            <w:tcBorders>
              <w:top w:val="single" w:sz="8" w:space="0" w:color="00000A"/>
              <w:left w:val="single" w:sz="8" w:space="0" w:color="00000A"/>
              <w:bottom w:val="single" w:sz="8" w:space="0" w:color="00000A"/>
              <w:right w:val="single" w:sz="8" w:space="0" w:color="00000A"/>
            </w:tcBorders>
            <w:shd w:val="clear" w:color="auto" w:fill="auto"/>
            <w:tcMar>
              <w:left w:w="50" w:type="dxa"/>
            </w:tcMar>
            <w:vAlign w:val="center"/>
          </w:tcPr>
          <w:p w14:paraId="68040A5B" w14:textId="77777777" w:rsidR="00C7161D" w:rsidRDefault="00C7161D" w:rsidP="008F052C">
            <w:pPr>
              <w:tabs>
                <w:tab w:val="left" w:pos="709"/>
              </w:tabs>
              <w:overflowPunct w:val="0"/>
              <w:jc w:val="center"/>
              <w:rPr>
                <w:rFonts w:ascii="Verdana" w:hAnsi="Verdana" w:cs="Tahoma"/>
                <w:sz w:val="18"/>
                <w:szCs w:val="18"/>
              </w:rPr>
            </w:pPr>
            <w:r>
              <w:rPr>
                <w:rFonts w:ascii="Verdana" w:hAnsi="Verdana" w:cs="Tahoma"/>
                <w:sz w:val="18"/>
                <w:szCs w:val="18"/>
              </w:rPr>
              <w:lastRenderedPageBreak/>
              <w:t>3</w:t>
            </w:r>
          </w:p>
        </w:tc>
        <w:tc>
          <w:tcPr>
            <w:tcW w:w="1483" w:type="dxa"/>
            <w:tcBorders>
              <w:top w:val="single" w:sz="8" w:space="0" w:color="00000A"/>
              <w:left w:val="single" w:sz="8" w:space="0" w:color="00000A"/>
              <w:bottom w:val="single" w:sz="8" w:space="0" w:color="00000A"/>
              <w:right w:val="single" w:sz="8" w:space="0" w:color="00000A"/>
            </w:tcBorders>
            <w:shd w:val="clear" w:color="auto" w:fill="auto"/>
            <w:tcMar>
              <w:left w:w="50" w:type="dxa"/>
            </w:tcMar>
            <w:vAlign w:val="center"/>
          </w:tcPr>
          <w:p w14:paraId="7E0E4389" w14:textId="77777777" w:rsidR="00C7161D" w:rsidRPr="00C7161D" w:rsidRDefault="00C7161D" w:rsidP="008F052C">
            <w:pPr>
              <w:tabs>
                <w:tab w:val="left" w:pos="709"/>
              </w:tabs>
              <w:jc w:val="center"/>
              <w:rPr>
                <w:rFonts w:ascii="Verdana" w:hAnsi="Verdana" w:cs="Tahoma"/>
                <w:sz w:val="18"/>
                <w:szCs w:val="18"/>
              </w:rPr>
            </w:pPr>
            <w:r w:rsidRPr="00C7161D">
              <w:rPr>
                <w:rFonts w:ascii="Verdana" w:hAnsi="Verdana" w:cs="Tahoma"/>
                <w:sz w:val="18"/>
                <w:szCs w:val="18"/>
              </w:rPr>
              <w:t>40%</w:t>
            </w:r>
          </w:p>
        </w:tc>
        <w:tc>
          <w:tcPr>
            <w:tcW w:w="2504" w:type="dxa"/>
            <w:tcBorders>
              <w:top w:val="single" w:sz="8" w:space="0" w:color="00000A"/>
              <w:left w:val="single" w:sz="8" w:space="0" w:color="00000A"/>
              <w:bottom w:val="single" w:sz="8" w:space="0" w:color="00000A"/>
              <w:right w:val="single" w:sz="8" w:space="0" w:color="00000A"/>
            </w:tcBorders>
            <w:shd w:val="clear" w:color="auto" w:fill="auto"/>
            <w:tcMar>
              <w:left w:w="50" w:type="dxa"/>
            </w:tcMar>
            <w:vAlign w:val="center"/>
          </w:tcPr>
          <w:p w14:paraId="0441CFFD" w14:textId="77777777" w:rsidR="00C7161D" w:rsidRPr="00C7161D" w:rsidRDefault="00C7161D" w:rsidP="008F052C">
            <w:pPr>
              <w:pStyle w:val="Default"/>
              <w:jc w:val="center"/>
              <w:rPr>
                <w:rFonts w:ascii="Verdana" w:hAnsi="Verdana"/>
                <w:color w:val="auto"/>
                <w:sz w:val="20"/>
                <w:szCs w:val="20"/>
              </w:rPr>
            </w:pPr>
            <w:r w:rsidRPr="00C7161D">
              <w:rPr>
                <w:rFonts w:ascii="Verdana" w:hAnsi="Verdana"/>
                <w:color w:val="auto"/>
                <w:sz w:val="20"/>
                <w:szCs w:val="20"/>
              </w:rPr>
              <w:t>Obiettivo di accertamento IMU: importo accertamenti IMU</w:t>
            </w:r>
          </w:p>
          <w:p w14:paraId="6BD4E211" w14:textId="77777777" w:rsidR="00C7161D" w:rsidRPr="00C7161D" w:rsidRDefault="00C7161D" w:rsidP="008F052C">
            <w:pPr>
              <w:pStyle w:val="Default"/>
              <w:jc w:val="center"/>
              <w:rPr>
                <w:rFonts w:ascii="Verdana" w:hAnsi="Verdana"/>
                <w:color w:val="auto"/>
                <w:sz w:val="20"/>
                <w:szCs w:val="20"/>
              </w:rPr>
            </w:pPr>
          </w:p>
          <w:p w14:paraId="60F1991D" w14:textId="77777777" w:rsidR="00C7161D" w:rsidRPr="00C7161D" w:rsidRDefault="00C7161D" w:rsidP="008F052C">
            <w:pPr>
              <w:pStyle w:val="Default"/>
              <w:jc w:val="center"/>
              <w:rPr>
                <w:rFonts w:ascii="Verdana" w:hAnsi="Verdana"/>
                <w:color w:val="auto"/>
                <w:sz w:val="20"/>
                <w:szCs w:val="20"/>
              </w:rPr>
            </w:pPr>
          </w:p>
          <w:p w14:paraId="2F8BDFF4" w14:textId="77777777" w:rsidR="00C7161D" w:rsidRPr="00C7161D" w:rsidRDefault="00C7161D" w:rsidP="008F052C">
            <w:pPr>
              <w:pStyle w:val="Default"/>
              <w:jc w:val="center"/>
              <w:rPr>
                <w:rFonts w:ascii="Verdana" w:hAnsi="Verdana"/>
                <w:dstrike/>
                <w:color w:val="auto"/>
                <w:sz w:val="20"/>
                <w:szCs w:val="20"/>
              </w:rPr>
            </w:pPr>
          </w:p>
          <w:p w14:paraId="241B5521" w14:textId="77777777" w:rsidR="00C7161D" w:rsidRPr="00C7161D" w:rsidRDefault="00C7161D" w:rsidP="008F052C">
            <w:pPr>
              <w:pStyle w:val="Default"/>
              <w:jc w:val="center"/>
              <w:rPr>
                <w:rFonts w:ascii="Verdana" w:hAnsi="Verdana"/>
                <w:color w:val="auto"/>
                <w:sz w:val="20"/>
                <w:szCs w:val="20"/>
              </w:rPr>
            </w:pPr>
          </w:p>
        </w:tc>
        <w:tc>
          <w:tcPr>
            <w:tcW w:w="666" w:type="dxa"/>
            <w:tcBorders>
              <w:top w:val="single" w:sz="8" w:space="0" w:color="00000A"/>
              <w:left w:val="single" w:sz="8" w:space="0" w:color="00000A"/>
              <w:bottom w:val="single" w:sz="8" w:space="0" w:color="00000A"/>
              <w:right w:val="single" w:sz="8" w:space="0" w:color="00000A"/>
            </w:tcBorders>
            <w:shd w:val="clear" w:color="auto" w:fill="auto"/>
            <w:tcMar>
              <w:left w:w="50" w:type="dxa"/>
            </w:tcMar>
            <w:vAlign w:val="center"/>
          </w:tcPr>
          <w:p w14:paraId="479DA363" w14:textId="77777777" w:rsidR="00C7161D" w:rsidRPr="00C7161D" w:rsidRDefault="00C7161D" w:rsidP="008F052C">
            <w:pPr>
              <w:jc w:val="center"/>
              <w:rPr>
                <w:rFonts w:ascii="Verdana" w:hAnsi="Verdana" w:cs="Tahoma"/>
                <w:sz w:val="18"/>
                <w:szCs w:val="18"/>
              </w:rPr>
            </w:pPr>
            <w:r w:rsidRPr="00C7161D">
              <w:rPr>
                <w:rFonts w:ascii="Verdana" w:hAnsi="Verdana" w:cs="Tahoma"/>
                <w:sz w:val="18"/>
                <w:szCs w:val="18"/>
              </w:rPr>
              <w:lastRenderedPageBreak/>
              <w:t>100%</w:t>
            </w:r>
          </w:p>
        </w:tc>
        <w:tc>
          <w:tcPr>
            <w:tcW w:w="588" w:type="dxa"/>
            <w:tcBorders>
              <w:top w:val="single" w:sz="8" w:space="0" w:color="00000A"/>
              <w:left w:val="single" w:sz="8" w:space="0" w:color="00000A"/>
              <w:bottom w:val="single" w:sz="8" w:space="0" w:color="00000A"/>
              <w:right w:val="single" w:sz="8" w:space="0" w:color="00000A"/>
            </w:tcBorders>
            <w:shd w:val="clear" w:color="auto" w:fill="auto"/>
            <w:tcMar>
              <w:left w:w="50" w:type="dxa"/>
            </w:tcMar>
            <w:vAlign w:val="center"/>
          </w:tcPr>
          <w:p w14:paraId="0591E2FD" w14:textId="77777777" w:rsidR="00C7161D" w:rsidRPr="00C7161D" w:rsidRDefault="00C7161D" w:rsidP="008F052C">
            <w:pPr>
              <w:jc w:val="center"/>
              <w:rPr>
                <w:rFonts w:ascii="Verdana" w:hAnsi="Verdana" w:cs="Tahoma"/>
                <w:sz w:val="18"/>
                <w:szCs w:val="18"/>
              </w:rPr>
            </w:pPr>
            <w:r w:rsidRPr="00C7161D">
              <w:rPr>
                <w:rFonts w:ascii="Verdana" w:hAnsi="Verdana" w:cs="Tahoma"/>
                <w:sz w:val="18"/>
                <w:szCs w:val="18"/>
              </w:rPr>
              <w:t>40%</w:t>
            </w:r>
          </w:p>
        </w:tc>
        <w:tc>
          <w:tcPr>
            <w:tcW w:w="679" w:type="dxa"/>
            <w:tcBorders>
              <w:top w:val="single" w:sz="8" w:space="0" w:color="00000A"/>
              <w:left w:val="single" w:sz="8" w:space="0" w:color="00000A"/>
              <w:bottom w:val="single" w:sz="8" w:space="0" w:color="00000A"/>
              <w:right w:val="single" w:sz="8" w:space="0" w:color="00000A"/>
            </w:tcBorders>
            <w:shd w:val="clear" w:color="auto" w:fill="auto"/>
            <w:tcMar>
              <w:left w:w="50" w:type="dxa"/>
            </w:tcMar>
            <w:vAlign w:val="center"/>
          </w:tcPr>
          <w:p w14:paraId="48BDA51A" w14:textId="77777777" w:rsidR="00C7161D" w:rsidRPr="00C7161D" w:rsidRDefault="00C7161D" w:rsidP="008F052C">
            <w:pPr>
              <w:tabs>
                <w:tab w:val="left" w:pos="193"/>
              </w:tabs>
              <w:jc w:val="center"/>
              <w:rPr>
                <w:rFonts w:ascii="Verdana" w:hAnsi="Verdana" w:cs="Tahoma"/>
                <w:sz w:val="18"/>
                <w:szCs w:val="18"/>
              </w:rPr>
            </w:pPr>
            <w:r w:rsidRPr="00C7161D">
              <w:rPr>
                <w:rFonts w:ascii="Verdana" w:hAnsi="Verdana" w:cs="Tahoma"/>
                <w:sz w:val="18"/>
                <w:szCs w:val="18"/>
              </w:rPr>
              <w:t>100%</w:t>
            </w:r>
          </w:p>
        </w:tc>
        <w:tc>
          <w:tcPr>
            <w:tcW w:w="2843" w:type="dxa"/>
            <w:tcBorders>
              <w:top w:val="single" w:sz="8" w:space="0" w:color="00000A"/>
              <w:left w:val="single" w:sz="8" w:space="0" w:color="00000A"/>
              <w:bottom w:val="single" w:sz="8" w:space="0" w:color="00000A"/>
              <w:right w:val="single" w:sz="8" w:space="0" w:color="00000A"/>
            </w:tcBorders>
            <w:shd w:val="clear" w:color="auto" w:fill="auto"/>
            <w:tcMar>
              <w:left w:w="50" w:type="dxa"/>
            </w:tcMar>
            <w:vAlign w:val="center"/>
          </w:tcPr>
          <w:p w14:paraId="2E73C232" w14:textId="77777777" w:rsidR="00C7161D" w:rsidRPr="00C7161D" w:rsidRDefault="00C7161D" w:rsidP="008F052C">
            <w:pPr>
              <w:pStyle w:val="Default"/>
              <w:ind w:left="720"/>
              <w:jc w:val="both"/>
              <w:rPr>
                <w:rFonts w:ascii="Verdana" w:hAnsi="Verdana"/>
                <w:color w:val="auto"/>
                <w:sz w:val="20"/>
                <w:szCs w:val="20"/>
              </w:rPr>
            </w:pPr>
            <w:r w:rsidRPr="00C7161D">
              <w:rPr>
                <w:rFonts w:ascii="Verdana" w:hAnsi="Verdana"/>
                <w:color w:val="auto"/>
                <w:sz w:val="20"/>
                <w:szCs w:val="20"/>
              </w:rPr>
              <w:t xml:space="preserve">Accertamento pari </w:t>
            </w:r>
          </w:p>
          <w:p w14:paraId="29EDB349" w14:textId="77777777" w:rsidR="00C7161D" w:rsidRPr="00C7161D" w:rsidRDefault="00C7161D" w:rsidP="008F052C">
            <w:pPr>
              <w:pStyle w:val="Default"/>
              <w:ind w:left="720"/>
              <w:jc w:val="both"/>
              <w:rPr>
                <w:rFonts w:ascii="Verdana" w:hAnsi="Verdana"/>
                <w:color w:val="auto"/>
                <w:sz w:val="20"/>
                <w:szCs w:val="20"/>
              </w:rPr>
            </w:pPr>
            <w:r w:rsidRPr="00C7161D">
              <w:rPr>
                <w:rFonts w:ascii="Verdana" w:hAnsi="Verdana"/>
                <w:color w:val="auto"/>
                <w:sz w:val="20"/>
                <w:szCs w:val="20"/>
              </w:rPr>
              <w:t xml:space="preserve">(o superiore) a </w:t>
            </w:r>
          </w:p>
          <w:p w14:paraId="1F03B710" w14:textId="77777777" w:rsidR="00C7161D" w:rsidRPr="00C7161D" w:rsidRDefault="00C7161D" w:rsidP="008F052C">
            <w:pPr>
              <w:pStyle w:val="Default"/>
              <w:ind w:left="720"/>
              <w:jc w:val="both"/>
              <w:rPr>
                <w:rFonts w:ascii="Verdana" w:hAnsi="Verdana"/>
                <w:color w:val="auto"/>
                <w:sz w:val="20"/>
                <w:szCs w:val="20"/>
              </w:rPr>
            </w:pPr>
            <w:r w:rsidRPr="00C7161D">
              <w:rPr>
                <w:rFonts w:ascii="Verdana" w:hAnsi="Verdana"/>
                <w:color w:val="auto"/>
                <w:sz w:val="20"/>
                <w:szCs w:val="20"/>
              </w:rPr>
              <w:t>€ 1.200.000,00</w:t>
            </w:r>
          </w:p>
        </w:tc>
        <w:tc>
          <w:tcPr>
            <w:tcW w:w="2711" w:type="dxa"/>
            <w:tcBorders>
              <w:top w:val="single" w:sz="8" w:space="0" w:color="00000A"/>
              <w:left w:val="single" w:sz="8" w:space="0" w:color="00000A"/>
              <w:bottom w:val="single" w:sz="8" w:space="0" w:color="00000A"/>
              <w:right w:val="single" w:sz="8" w:space="0" w:color="00000A"/>
            </w:tcBorders>
            <w:shd w:val="clear" w:color="auto" w:fill="auto"/>
            <w:tcMar>
              <w:left w:w="50" w:type="dxa"/>
            </w:tcMar>
            <w:vAlign w:val="center"/>
          </w:tcPr>
          <w:p w14:paraId="6C92957C" w14:textId="77777777" w:rsidR="00C7161D" w:rsidRPr="00C7161D" w:rsidRDefault="00C7161D" w:rsidP="008F052C">
            <w:pPr>
              <w:ind w:left="360"/>
              <w:jc w:val="center"/>
              <w:rPr>
                <w:rFonts w:ascii="Verdana" w:hAnsi="Verdana"/>
                <w:sz w:val="20"/>
                <w:szCs w:val="20"/>
              </w:rPr>
            </w:pPr>
            <w:r w:rsidRPr="00C7161D">
              <w:rPr>
                <w:rFonts w:ascii="Verdana" w:hAnsi="Verdana" w:cs="Tahoma"/>
                <w:sz w:val="18"/>
                <w:szCs w:val="18"/>
              </w:rPr>
              <w:t>L’obiettivo riguarda gli importi accertati IMU al 31/12/2020</w:t>
            </w:r>
          </w:p>
        </w:tc>
        <w:tc>
          <w:tcPr>
            <w:tcW w:w="2606" w:type="dxa"/>
            <w:tcBorders>
              <w:top w:val="single" w:sz="8" w:space="0" w:color="00000A"/>
              <w:left w:val="single" w:sz="8" w:space="0" w:color="00000A"/>
              <w:bottom w:val="single" w:sz="8" w:space="0" w:color="00000A"/>
              <w:right w:val="single" w:sz="8" w:space="0" w:color="00000A"/>
            </w:tcBorders>
            <w:shd w:val="clear" w:color="auto" w:fill="auto"/>
            <w:tcMar>
              <w:left w:w="50" w:type="dxa"/>
            </w:tcMar>
          </w:tcPr>
          <w:p w14:paraId="4E7DAA7C" w14:textId="77777777" w:rsidR="00724595" w:rsidRDefault="00724595" w:rsidP="00724595">
            <w:pPr>
              <w:pStyle w:val="Default"/>
              <w:rPr>
                <w:rFonts w:ascii="Verdana" w:hAnsi="Verdana"/>
                <w:sz w:val="20"/>
                <w:szCs w:val="20"/>
              </w:rPr>
            </w:pPr>
            <w:r>
              <w:rPr>
                <w:rFonts w:ascii="Verdana" w:hAnsi="Verdana"/>
                <w:sz w:val="20"/>
                <w:szCs w:val="20"/>
              </w:rPr>
              <w:t xml:space="preserve">Nonostante l’emergenza sanitaria abbia portato all’emanazione di provvedimenti di legge </w:t>
            </w:r>
            <w:r>
              <w:rPr>
                <w:rFonts w:ascii="Verdana" w:hAnsi="Verdana"/>
                <w:sz w:val="20"/>
                <w:szCs w:val="20"/>
              </w:rPr>
              <w:lastRenderedPageBreak/>
              <w:t xml:space="preserve">atti a sospendere l’attività di accertamento dei tributi dal 08/03/2020 al 31/05/2020, </w:t>
            </w:r>
            <w:r w:rsidRPr="00DC1842">
              <w:rPr>
                <w:rFonts w:ascii="Verdana" w:hAnsi="Verdana"/>
                <w:b/>
                <w:sz w:val="20"/>
                <w:szCs w:val="20"/>
              </w:rPr>
              <w:t xml:space="preserve">l’Ufficio tributi ha notificato nel 2020 accertamenti IMU per € 1.552.973,00, </w:t>
            </w:r>
            <w:r>
              <w:rPr>
                <w:rFonts w:ascii="Verdana" w:hAnsi="Verdana"/>
                <w:sz w:val="20"/>
                <w:szCs w:val="20"/>
              </w:rPr>
              <w:t xml:space="preserve">così ripartiti tra comuni: Boretto € 96.267,00, Brescello € 77.766,00 Gualtieri 84.816,00 Guastalla 96.671,00 Luzzara 227.050,00 Novellara 481.292,00 </w:t>
            </w:r>
            <w:proofErr w:type="spellStart"/>
            <w:r>
              <w:rPr>
                <w:rFonts w:ascii="Verdana" w:hAnsi="Verdana"/>
                <w:sz w:val="20"/>
                <w:szCs w:val="20"/>
              </w:rPr>
              <w:t>Povigli</w:t>
            </w:r>
            <w:proofErr w:type="spellEnd"/>
            <w:r>
              <w:rPr>
                <w:rFonts w:ascii="Verdana" w:hAnsi="Verdana"/>
                <w:sz w:val="20"/>
                <w:szCs w:val="20"/>
              </w:rPr>
              <w:t xml:space="preserve"> 80.500,00 Reggiolo 408.611,00</w:t>
            </w:r>
          </w:p>
          <w:p w14:paraId="46023B60" w14:textId="77777777" w:rsidR="00C7161D" w:rsidRDefault="00C7161D" w:rsidP="008F052C">
            <w:pPr>
              <w:ind w:left="360"/>
              <w:jc w:val="center"/>
              <w:rPr>
                <w:rFonts w:ascii="Verdana" w:hAnsi="Verdana"/>
                <w:sz w:val="20"/>
                <w:szCs w:val="20"/>
              </w:rPr>
            </w:pPr>
          </w:p>
        </w:tc>
      </w:tr>
    </w:tbl>
    <w:p w14:paraId="22836ECD" w14:textId="77777777" w:rsidR="00C7161D" w:rsidRDefault="00C7161D">
      <w:pPr>
        <w:spacing w:after="200" w:line="276" w:lineRule="auto"/>
      </w:pPr>
    </w:p>
    <w:p w14:paraId="273E646C" w14:textId="77777777" w:rsidR="00C7161D" w:rsidRDefault="00C7161D">
      <w:pPr>
        <w:spacing w:after="200" w:line="276" w:lineRule="auto"/>
      </w:pPr>
    </w:p>
    <w:p w14:paraId="1F9F54AF" w14:textId="77777777" w:rsidR="00C7161D" w:rsidRDefault="00C7161D">
      <w:pPr>
        <w:spacing w:after="200" w:line="276" w:lineRule="auto"/>
      </w:pPr>
    </w:p>
    <w:p w14:paraId="3E80820F" w14:textId="77777777" w:rsidR="00C7161D" w:rsidRDefault="00C7161D">
      <w:pPr>
        <w:spacing w:after="200" w:line="276" w:lineRule="auto"/>
      </w:pPr>
    </w:p>
    <w:p w14:paraId="630A5409" w14:textId="77777777" w:rsidR="00C7161D" w:rsidRDefault="00C7161D">
      <w:pPr>
        <w:spacing w:after="200" w:line="276" w:lineRule="auto"/>
      </w:pPr>
    </w:p>
    <w:p w14:paraId="1E46CE44" w14:textId="77777777" w:rsidR="00C7161D" w:rsidRDefault="00C7161D">
      <w:pPr>
        <w:spacing w:after="200" w:line="276" w:lineRule="auto"/>
      </w:pPr>
    </w:p>
    <w:p w14:paraId="1D63B6E2" w14:textId="77777777" w:rsidR="00576D0F" w:rsidRDefault="00576D0F" w:rsidP="00576D0F">
      <w:pPr>
        <w:spacing w:after="200" w:line="276" w:lineRule="auto"/>
      </w:pPr>
    </w:p>
    <w:p w14:paraId="156BCE13" w14:textId="77777777" w:rsidR="0073792C" w:rsidRDefault="0073792C">
      <w:pPr>
        <w:spacing w:after="200" w:line="276" w:lineRule="auto"/>
      </w:pPr>
      <w:r>
        <w:br w:type="page"/>
      </w:r>
    </w:p>
    <w:p w14:paraId="46DB27B7" w14:textId="77777777" w:rsidR="00A32299" w:rsidRDefault="00A32299" w:rsidP="00200B4C">
      <w:pPr>
        <w:jc w:val="center"/>
        <w:rPr>
          <w:rFonts w:ascii="Arial" w:hAnsi="Arial" w:cs="Arial"/>
          <w:b/>
          <w:sz w:val="20"/>
          <w:szCs w:val="20"/>
        </w:rPr>
      </w:pPr>
    </w:p>
    <w:sectPr w:rsidR="00A32299" w:rsidSect="002A354C">
      <w:pgSz w:w="16838" w:h="11906" w:orient="landscape"/>
      <w:pgMar w:top="1134" w:right="141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ivaldi">
    <w:panose1 w:val="03020602050506090804"/>
    <w:charset w:val="00"/>
    <w:family w:val="script"/>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00F40"/>
    <w:multiLevelType w:val="hybridMultilevel"/>
    <w:tmpl w:val="55CAA5A4"/>
    <w:lvl w:ilvl="0" w:tplc="0F627712">
      <w:start w:val="1"/>
      <w:numFmt w:val="bullet"/>
      <w:lvlText w:val="-"/>
      <w:lvlJc w:val="left"/>
      <w:pPr>
        <w:ind w:left="720" w:hanging="360"/>
      </w:pPr>
      <w:rPr>
        <w:rFonts w:ascii="Vivaldi" w:hAnsi="Vival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256084"/>
    <w:multiLevelType w:val="hybridMultilevel"/>
    <w:tmpl w:val="A4E2F1FA"/>
    <w:lvl w:ilvl="0" w:tplc="90DCD18C">
      <w:numFmt w:val="bullet"/>
      <w:lvlText w:val="-"/>
      <w:lvlJc w:val="left"/>
      <w:pPr>
        <w:ind w:left="1080" w:hanging="360"/>
      </w:pPr>
      <w:rPr>
        <w:rFonts w:ascii="Verdana" w:eastAsia="Times New Roman" w:hAnsi="Verdana" w:cs="Tahoma"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0A4D5BBC"/>
    <w:multiLevelType w:val="hybridMultilevel"/>
    <w:tmpl w:val="2200A308"/>
    <w:lvl w:ilvl="0" w:tplc="0F627712">
      <w:start w:val="1"/>
      <w:numFmt w:val="bullet"/>
      <w:lvlText w:val="-"/>
      <w:lvlJc w:val="left"/>
      <w:pPr>
        <w:tabs>
          <w:tab w:val="num" w:pos="750"/>
        </w:tabs>
        <w:ind w:left="750" w:hanging="390"/>
      </w:pPr>
      <w:rPr>
        <w:rFonts w:ascii="Vivaldi" w:hAnsi="Vivaldi"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C0F518C"/>
    <w:multiLevelType w:val="hybridMultilevel"/>
    <w:tmpl w:val="6D42DB5C"/>
    <w:lvl w:ilvl="0" w:tplc="D71CD09C">
      <w:start w:val="1"/>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E004E68"/>
    <w:multiLevelType w:val="hybridMultilevel"/>
    <w:tmpl w:val="E5EE90B4"/>
    <w:lvl w:ilvl="0" w:tplc="C10095DC">
      <w:numFmt w:val="bullet"/>
      <w:lvlText w:val="-"/>
      <w:lvlJc w:val="left"/>
      <w:pPr>
        <w:ind w:left="720" w:hanging="360"/>
      </w:pPr>
      <w:rPr>
        <w:rFonts w:ascii="Verdana" w:eastAsia="Times New Roman" w:hAnsi="Verdana"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FC2255E"/>
    <w:multiLevelType w:val="hybridMultilevel"/>
    <w:tmpl w:val="0DE440D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1466C21"/>
    <w:multiLevelType w:val="multilevel"/>
    <w:tmpl w:val="1C74CE02"/>
    <w:lvl w:ilvl="0">
      <w:start w:val="1"/>
      <w:numFmt w:val="bullet"/>
      <w:lvlText w:val="-"/>
      <w:lvlJc w:val="left"/>
      <w:pPr>
        <w:ind w:left="720" w:hanging="360"/>
      </w:pPr>
      <w:rPr>
        <w:rFonts w:ascii="Verdana" w:hAnsi="Verdana" w:cs="Tahoma"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1400009F"/>
    <w:multiLevelType w:val="hybridMultilevel"/>
    <w:tmpl w:val="607CEA0E"/>
    <w:lvl w:ilvl="0" w:tplc="2CD433B8">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0050E9F"/>
    <w:multiLevelType w:val="hybridMultilevel"/>
    <w:tmpl w:val="4398A6D2"/>
    <w:lvl w:ilvl="0" w:tplc="527018B2">
      <w:start w:val="1"/>
      <w:numFmt w:val="decimal"/>
      <w:lvlText w:val="%1."/>
      <w:lvlJc w:val="left"/>
      <w:pPr>
        <w:tabs>
          <w:tab w:val="num" w:pos="720"/>
        </w:tabs>
        <w:ind w:left="720" w:hanging="360"/>
      </w:pPr>
    </w:lvl>
    <w:lvl w:ilvl="1" w:tplc="D0AE4FD4" w:tentative="1">
      <w:start w:val="1"/>
      <w:numFmt w:val="decimal"/>
      <w:lvlText w:val="%2."/>
      <w:lvlJc w:val="left"/>
      <w:pPr>
        <w:tabs>
          <w:tab w:val="num" w:pos="1440"/>
        </w:tabs>
        <w:ind w:left="1440" w:hanging="360"/>
      </w:pPr>
    </w:lvl>
    <w:lvl w:ilvl="2" w:tplc="DC60FF94" w:tentative="1">
      <w:start w:val="1"/>
      <w:numFmt w:val="decimal"/>
      <w:lvlText w:val="%3."/>
      <w:lvlJc w:val="left"/>
      <w:pPr>
        <w:tabs>
          <w:tab w:val="num" w:pos="2160"/>
        </w:tabs>
        <w:ind w:left="2160" w:hanging="360"/>
      </w:pPr>
    </w:lvl>
    <w:lvl w:ilvl="3" w:tplc="8C169392" w:tentative="1">
      <w:start w:val="1"/>
      <w:numFmt w:val="decimal"/>
      <w:lvlText w:val="%4."/>
      <w:lvlJc w:val="left"/>
      <w:pPr>
        <w:tabs>
          <w:tab w:val="num" w:pos="2880"/>
        </w:tabs>
        <w:ind w:left="2880" w:hanging="360"/>
      </w:pPr>
    </w:lvl>
    <w:lvl w:ilvl="4" w:tplc="B6C0855C" w:tentative="1">
      <w:start w:val="1"/>
      <w:numFmt w:val="decimal"/>
      <w:lvlText w:val="%5."/>
      <w:lvlJc w:val="left"/>
      <w:pPr>
        <w:tabs>
          <w:tab w:val="num" w:pos="3600"/>
        </w:tabs>
        <w:ind w:left="3600" w:hanging="360"/>
      </w:pPr>
    </w:lvl>
    <w:lvl w:ilvl="5" w:tplc="8A9E5C86" w:tentative="1">
      <w:start w:val="1"/>
      <w:numFmt w:val="decimal"/>
      <w:lvlText w:val="%6."/>
      <w:lvlJc w:val="left"/>
      <w:pPr>
        <w:tabs>
          <w:tab w:val="num" w:pos="4320"/>
        </w:tabs>
        <w:ind w:left="4320" w:hanging="360"/>
      </w:pPr>
    </w:lvl>
    <w:lvl w:ilvl="6" w:tplc="05B8E4C2" w:tentative="1">
      <w:start w:val="1"/>
      <w:numFmt w:val="decimal"/>
      <w:lvlText w:val="%7."/>
      <w:lvlJc w:val="left"/>
      <w:pPr>
        <w:tabs>
          <w:tab w:val="num" w:pos="5040"/>
        </w:tabs>
        <w:ind w:left="5040" w:hanging="360"/>
      </w:pPr>
    </w:lvl>
    <w:lvl w:ilvl="7" w:tplc="70D2C4EC" w:tentative="1">
      <w:start w:val="1"/>
      <w:numFmt w:val="decimal"/>
      <w:lvlText w:val="%8."/>
      <w:lvlJc w:val="left"/>
      <w:pPr>
        <w:tabs>
          <w:tab w:val="num" w:pos="5760"/>
        </w:tabs>
        <w:ind w:left="5760" w:hanging="360"/>
      </w:pPr>
    </w:lvl>
    <w:lvl w:ilvl="8" w:tplc="307A0528" w:tentative="1">
      <w:start w:val="1"/>
      <w:numFmt w:val="decimal"/>
      <w:lvlText w:val="%9."/>
      <w:lvlJc w:val="left"/>
      <w:pPr>
        <w:tabs>
          <w:tab w:val="num" w:pos="6480"/>
        </w:tabs>
        <w:ind w:left="6480" w:hanging="360"/>
      </w:pPr>
    </w:lvl>
  </w:abstractNum>
  <w:abstractNum w:abstractNumId="9" w15:restartNumberingAfterBreak="0">
    <w:nsid w:val="21557EA3"/>
    <w:multiLevelType w:val="hybridMultilevel"/>
    <w:tmpl w:val="B192DF4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23A45E9"/>
    <w:multiLevelType w:val="hybridMultilevel"/>
    <w:tmpl w:val="AAC0248E"/>
    <w:lvl w:ilvl="0" w:tplc="2F984F6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7A51C4B"/>
    <w:multiLevelType w:val="hybridMultilevel"/>
    <w:tmpl w:val="494683D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E942424"/>
    <w:multiLevelType w:val="hybridMultilevel"/>
    <w:tmpl w:val="BBBA83DA"/>
    <w:lvl w:ilvl="0" w:tplc="30D004A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F614762"/>
    <w:multiLevelType w:val="hybridMultilevel"/>
    <w:tmpl w:val="38A687BE"/>
    <w:lvl w:ilvl="0" w:tplc="FFFFFFFF">
      <w:start w:val="1"/>
      <w:numFmt w:val="bullet"/>
      <w:lvlText w:val="-"/>
      <w:lvlJc w:val="left"/>
      <w:pPr>
        <w:tabs>
          <w:tab w:val="num" w:pos="720"/>
        </w:tabs>
        <w:ind w:left="720" w:hanging="360"/>
      </w:pPr>
      <w:rPr>
        <w:rFonts w:ascii="Palatino" w:eastAsia="Times" w:hAnsi="Palatino"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0D3B34"/>
    <w:multiLevelType w:val="hybridMultilevel"/>
    <w:tmpl w:val="2214B1F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7A538DE"/>
    <w:multiLevelType w:val="hybridMultilevel"/>
    <w:tmpl w:val="628C09F2"/>
    <w:lvl w:ilvl="0" w:tplc="CF02FA4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4F3E45FF"/>
    <w:multiLevelType w:val="hybridMultilevel"/>
    <w:tmpl w:val="342AA9BC"/>
    <w:lvl w:ilvl="0" w:tplc="8FF64868">
      <w:start w:val="1"/>
      <w:numFmt w:val="bullet"/>
      <w:lvlText w:val="-"/>
      <w:lvlJc w:val="left"/>
      <w:pPr>
        <w:tabs>
          <w:tab w:val="num" w:pos="720"/>
        </w:tabs>
        <w:ind w:left="720" w:hanging="360"/>
      </w:pPr>
      <w:rPr>
        <w:rFonts w:ascii="Verdana" w:eastAsia="Times New Roman" w:hAnsi="Verdana" w:cs="Tahoma"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80578"/>
    <w:multiLevelType w:val="hybridMultilevel"/>
    <w:tmpl w:val="B192DF4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58C2941"/>
    <w:multiLevelType w:val="multilevel"/>
    <w:tmpl w:val="C3702B2C"/>
    <w:lvl w:ilvl="0">
      <w:numFmt w:val="bullet"/>
      <w:lvlText w:val="-"/>
      <w:lvlJc w:val="left"/>
      <w:pPr>
        <w:ind w:left="1080" w:hanging="360"/>
      </w:pPr>
      <w:rPr>
        <w:rFonts w:ascii="Verdana" w:eastAsia="Times New Roman" w:hAnsi="Verdana" w:cs="Tahoma"/>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9" w15:restartNumberingAfterBreak="0">
    <w:nsid w:val="575D4D5F"/>
    <w:multiLevelType w:val="hybridMultilevel"/>
    <w:tmpl w:val="8B76C09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A75136F"/>
    <w:multiLevelType w:val="multilevel"/>
    <w:tmpl w:val="7338C474"/>
    <w:lvl w:ilvl="0">
      <w:start w:val="1"/>
      <w:numFmt w:val="bullet"/>
      <w:lvlText w:val="-"/>
      <w:lvlJc w:val="left"/>
      <w:pPr>
        <w:tabs>
          <w:tab w:val="num" w:pos="720"/>
        </w:tabs>
        <w:ind w:left="720" w:hanging="360"/>
      </w:pPr>
      <w:rPr>
        <w:rFonts w:ascii="Verdana" w:hAnsi="Verdana" w:cs="Tahoma"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43047"/>
    <w:multiLevelType w:val="multilevel"/>
    <w:tmpl w:val="A234251C"/>
    <w:lvl w:ilvl="0">
      <w:start w:val="1"/>
      <w:numFmt w:val="bullet"/>
      <w:lvlText w:val="-"/>
      <w:lvlJc w:val="left"/>
      <w:pPr>
        <w:ind w:left="720" w:hanging="360"/>
      </w:pPr>
      <w:rPr>
        <w:rFonts w:ascii="Calibri" w:hAnsi="Calibri"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5FBC012E"/>
    <w:multiLevelType w:val="hybridMultilevel"/>
    <w:tmpl w:val="82821A1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60B66B78"/>
    <w:multiLevelType w:val="hybridMultilevel"/>
    <w:tmpl w:val="942A8F42"/>
    <w:lvl w:ilvl="0" w:tplc="B3CE86FA">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77830DE"/>
    <w:multiLevelType w:val="hybridMultilevel"/>
    <w:tmpl w:val="04128620"/>
    <w:lvl w:ilvl="0" w:tplc="17B839AE">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83B76F2"/>
    <w:multiLevelType w:val="hybridMultilevel"/>
    <w:tmpl w:val="E16A28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A535176"/>
    <w:multiLevelType w:val="hybridMultilevel"/>
    <w:tmpl w:val="3EE6716E"/>
    <w:lvl w:ilvl="0" w:tplc="36467B3C">
      <w:numFmt w:val="bullet"/>
      <w:lvlText w:val="-"/>
      <w:lvlJc w:val="left"/>
      <w:pPr>
        <w:ind w:left="720" w:hanging="360"/>
      </w:pPr>
      <w:rPr>
        <w:rFonts w:ascii="Verdana" w:eastAsia="Times New Roman" w:hAnsi="Verdan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1505360"/>
    <w:multiLevelType w:val="hybridMultilevel"/>
    <w:tmpl w:val="A726D06A"/>
    <w:lvl w:ilvl="0" w:tplc="0F627712">
      <w:start w:val="1"/>
      <w:numFmt w:val="bullet"/>
      <w:lvlText w:val="-"/>
      <w:lvlJc w:val="left"/>
      <w:pPr>
        <w:tabs>
          <w:tab w:val="num" w:pos="720"/>
        </w:tabs>
        <w:ind w:left="720" w:hanging="360"/>
      </w:pPr>
      <w:rPr>
        <w:rFonts w:ascii="Vivaldi" w:hAnsi="Vivaldi"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74C86D7D"/>
    <w:multiLevelType w:val="hybridMultilevel"/>
    <w:tmpl w:val="96DE3BB6"/>
    <w:lvl w:ilvl="0" w:tplc="C3449EF8">
      <w:start w:val="1"/>
      <w:numFmt w:val="bullet"/>
      <w:lvlText w:val=""/>
      <w:lvlJc w:val="left"/>
      <w:pPr>
        <w:tabs>
          <w:tab w:val="num" w:pos="1195"/>
        </w:tabs>
        <w:ind w:left="1175" w:hanging="340"/>
      </w:pPr>
      <w:rPr>
        <w:rFonts w:ascii="Wingdings" w:hAnsi="Wingdings" w:hint="default"/>
        <w:color w:val="auto"/>
      </w:rPr>
    </w:lvl>
    <w:lvl w:ilvl="1" w:tplc="C5C8458E">
      <w:start w:val="1"/>
      <w:numFmt w:val="bullet"/>
      <w:lvlText w:val=""/>
      <w:lvlJc w:val="left"/>
      <w:pPr>
        <w:tabs>
          <w:tab w:val="num" w:pos="1915"/>
        </w:tabs>
        <w:ind w:left="1915" w:hanging="360"/>
      </w:pPr>
      <w:rPr>
        <w:rFonts w:ascii="Wingdings" w:hAnsi="Wingdings" w:hint="default"/>
        <w:color w:val="auto"/>
      </w:rPr>
    </w:lvl>
    <w:lvl w:ilvl="2" w:tplc="0410001B" w:tentative="1">
      <w:start w:val="1"/>
      <w:numFmt w:val="lowerRoman"/>
      <w:lvlText w:val="%3."/>
      <w:lvlJc w:val="right"/>
      <w:pPr>
        <w:tabs>
          <w:tab w:val="num" w:pos="2635"/>
        </w:tabs>
        <w:ind w:left="2635" w:hanging="180"/>
      </w:pPr>
    </w:lvl>
    <w:lvl w:ilvl="3" w:tplc="0410000F" w:tentative="1">
      <w:start w:val="1"/>
      <w:numFmt w:val="decimal"/>
      <w:lvlText w:val="%4."/>
      <w:lvlJc w:val="left"/>
      <w:pPr>
        <w:tabs>
          <w:tab w:val="num" w:pos="3355"/>
        </w:tabs>
        <w:ind w:left="3355" w:hanging="360"/>
      </w:pPr>
    </w:lvl>
    <w:lvl w:ilvl="4" w:tplc="04100019" w:tentative="1">
      <w:start w:val="1"/>
      <w:numFmt w:val="lowerLetter"/>
      <w:lvlText w:val="%5."/>
      <w:lvlJc w:val="left"/>
      <w:pPr>
        <w:tabs>
          <w:tab w:val="num" w:pos="4075"/>
        </w:tabs>
        <w:ind w:left="4075" w:hanging="360"/>
      </w:pPr>
    </w:lvl>
    <w:lvl w:ilvl="5" w:tplc="0410001B" w:tentative="1">
      <w:start w:val="1"/>
      <w:numFmt w:val="lowerRoman"/>
      <w:lvlText w:val="%6."/>
      <w:lvlJc w:val="right"/>
      <w:pPr>
        <w:tabs>
          <w:tab w:val="num" w:pos="4795"/>
        </w:tabs>
        <w:ind w:left="4795" w:hanging="180"/>
      </w:pPr>
    </w:lvl>
    <w:lvl w:ilvl="6" w:tplc="0410000F" w:tentative="1">
      <w:start w:val="1"/>
      <w:numFmt w:val="decimal"/>
      <w:lvlText w:val="%7."/>
      <w:lvlJc w:val="left"/>
      <w:pPr>
        <w:tabs>
          <w:tab w:val="num" w:pos="5515"/>
        </w:tabs>
        <w:ind w:left="5515" w:hanging="360"/>
      </w:pPr>
    </w:lvl>
    <w:lvl w:ilvl="7" w:tplc="04100019" w:tentative="1">
      <w:start w:val="1"/>
      <w:numFmt w:val="lowerLetter"/>
      <w:lvlText w:val="%8."/>
      <w:lvlJc w:val="left"/>
      <w:pPr>
        <w:tabs>
          <w:tab w:val="num" w:pos="6235"/>
        </w:tabs>
        <w:ind w:left="6235" w:hanging="360"/>
      </w:pPr>
    </w:lvl>
    <w:lvl w:ilvl="8" w:tplc="0410001B" w:tentative="1">
      <w:start w:val="1"/>
      <w:numFmt w:val="lowerRoman"/>
      <w:lvlText w:val="%9."/>
      <w:lvlJc w:val="right"/>
      <w:pPr>
        <w:tabs>
          <w:tab w:val="num" w:pos="6955"/>
        </w:tabs>
        <w:ind w:left="6955" w:hanging="180"/>
      </w:pPr>
    </w:lvl>
  </w:abstractNum>
  <w:abstractNum w:abstractNumId="29" w15:restartNumberingAfterBreak="0">
    <w:nsid w:val="7D806E64"/>
    <w:multiLevelType w:val="hybridMultilevel"/>
    <w:tmpl w:val="3B2A49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0"/>
  </w:num>
  <w:num w:numId="3">
    <w:abstractNumId w:val="2"/>
  </w:num>
  <w:num w:numId="4">
    <w:abstractNumId w:val="27"/>
  </w:num>
  <w:num w:numId="5">
    <w:abstractNumId w:val="1"/>
  </w:num>
  <w:num w:numId="6">
    <w:abstractNumId w:val="16"/>
  </w:num>
  <w:num w:numId="7">
    <w:abstractNumId w:val="26"/>
  </w:num>
  <w:num w:numId="8">
    <w:abstractNumId w:val="15"/>
  </w:num>
  <w:num w:numId="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0"/>
  </w:num>
  <w:num w:numId="12">
    <w:abstractNumId w:val="6"/>
  </w:num>
  <w:num w:numId="13">
    <w:abstractNumId w:val="21"/>
  </w:num>
  <w:num w:numId="14">
    <w:abstractNumId w:val="7"/>
  </w:num>
  <w:num w:numId="15">
    <w:abstractNumId w:val="28"/>
  </w:num>
  <w:num w:numId="16">
    <w:abstractNumId w:val="8"/>
  </w:num>
  <w:num w:numId="17">
    <w:abstractNumId w:val="13"/>
  </w:num>
  <w:num w:numId="18">
    <w:abstractNumId w:val="18"/>
  </w:num>
  <w:num w:numId="19">
    <w:abstractNumId w:val="11"/>
  </w:num>
  <w:num w:numId="20">
    <w:abstractNumId w:val="19"/>
  </w:num>
  <w:num w:numId="21">
    <w:abstractNumId w:val="9"/>
  </w:num>
  <w:num w:numId="22">
    <w:abstractNumId w:val="5"/>
  </w:num>
  <w:num w:numId="23">
    <w:abstractNumId w:val="10"/>
  </w:num>
  <w:num w:numId="24">
    <w:abstractNumId w:val="17"/>
  </w:num>
  <w:num w:numId="25">
    <w:abstractNumId w:val="4"/>
  </w:num>
  <w:num w:numId="26">
    <w:abstractNumId w:val="25"/>
  </w:num>
  <w:num w:numId="27">
    <w:abstractNumId w:val="23"/>
  </w:num>
  <w:num w:numId="28">
    <w:abstractNumId w:val="3"/>
  </w:num>
  <w:num w:numId="29">
    <w:abstractNumId w:val="24"/>
  </w:num>
  <w:num w:numId="30">
    <w:abstractNumId w:val="29"/>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54C"/>
    <w:rsid w:val="00036A49"/>
    <w:rsid w:val="00047030"/>
    <w:rsid w:val="000930A9"/>
    <w:rsid w:val="000A0444"/>
    <w:rsid w:val="000F438D"/>
    <w:rsid w:val="001004C5"/>
    <w:rsid w:val="001156B3"/>
    <w:rsid w:val="00120854"/>
    <w:rsid w:val="00142105"/>
    <w:rsid w:val="00153EEC"/>
    <w:rsid w:val="0016482F"/>
    <w:rsid w:val="00170B4A"/>
    <w:rsid w:val="00196041"/>
    <w:rsid w:val="001C64B5"/>
    <w:rsid w:val="001F51DF"/>
    <w:rsid w:val="00200B4C"/>
    <w:rsid w:val="0022535A"/>
    <w:rsid w:val="00242C3F"/>
    <w:rsid w:val="002448A5"/>
    <w:rsid w:val="002462FB"/>
    <w:rsid w:val="002A0081"/>
    <w:rsid w:val="002A354C"/>
    <w:rsid w:val="002B72DB"/>
    <w:rsid w:val="002C2A16"/>
    <w:rsid w:val="002C3064"/>
    <w:rsid w:val="002D0B79"/>
    <w:rsid w:val="002E0097"/>
    <w:rsid w:val="002F687D"/>
    <w:rsid w:val="00330210"/>
    <w:rsid w:val="003342EA"/>
    <w:rsid w:val="00384D42"/>
    <w:rsid w:val="003A25FB"/>
    <w:rsid w:val="003F327F"/>
    <w:rsid w:val="0044064F"/>
    <w:rsid w:val="004530FB"/>
    <w:rsid w:val="00463213"/>
    <w:rsid w:val="004A1562"/>
    <w:rsid w:val="004B6860"/>
    <w:rsid w:val="004E25B8"/>
    <w:rsid w:val="004E68AC"/>
    <w:rsid w:val="004F394B"/>
    <w:rsid w:val="0052772E"/>
    <w:rsid w:val="00527FD7"/>
    <w:rsid w:val="00535C21"/>
    <w:rsid w:val="005505CB"/>
    <w:rsid w:val="00576D0F"/>
    <w:rsid w:val="00594ADD"/>
    <w:rsid w:val="005E0B7E"/>
    <w:rsid w:val="006278E9"/>
    <w:rsid w:val="00660D84"/>
    <w:rsid w:val="00663C49"/>
    <w:rsid w:val="006642F9"/>
    <w:rsid w:val="006951AA"/>
    <w:rsid w:val="00696143"/>
    <w:rsid w:val="006B6000"/>
    <w:rsid w:val="006E4AB2"/>
    <w:rsid w:val="00712961"/>
    <w:rsid w:val="00724595"/>
    <w:rsid w:val="0073792C"/>
    <w:rsid w:val="007A5EE2"/>
    <w:rsid w:val="007C434B"/>
    <w:rsid w:val="007E6009"/>
    <w:rsid w:val="00833F6C"/>
    <w:rsid w:val="0085124B"/>
    <w:rsid w:val="008C0F81"/>
    <w:rsid w:val="008C4773"/>
    <w:rsid w:val="008F052C"/>
    <w:rsid w:val="009435BF"/>
    <w:rsid w:val="00972F5C"/>
    <w:rsid w:val="00984B59"/>
    <w:rsid w:val="00990B27"/>
    <w:rsid w:val="009A7487"/>
    <w:rsid w:val="00A06BE5"/>
    <w:rsid w:val="00A25611"/>
    <w:rsid w:val="00A32299"/>
    <w:rsid w:val="00A53CF8"/>
    <w:rsid w:val="00A66D95"/>
    <w:rsid w:val="00AC010F"/>
    <w:rsid w:val="00AF7532"/>
    <w:rsid w:val="00B06770"/>
    <w:rsid w:val="00B12181"/>
    <w:rsid w:val="00B3164D"/>
    <w:rsid w:val="00B66E14"/>
    <w:rsid w:val="00B752FE"/>
    <w:rsid w:val="00B977F3"/>
    <w:rsid w:val="00BF5BCA"/>
    <w:rsid w:val="00C17BF7"/>
    <w:rsid w:val="00C25065"/>
    <w:rsid w:val="00C453A8"/>
    <w:rsid w:val="00C62531"/>
    <w:rsid w:val="00C65BB7"/>
    <w:rsid w:val="00C7161D"/>
    <w:rsid w:val="00C86A2F"/>
    <w:rsid w:val="00C9069C"/>
    <w:rsid w:val="00CA089C"/>
    <w:rsid w:val="00CC00ED"/>
    <w:rsid w:val="00D46A92"/>
    <w:rsid w:val="00D664E0"/>
    <w:rsid w:val="00D66FE7"/>
    <w:rsid w:val="00D6713D"/>
    <w:rsid w:val="00D86343"/>
    <w:rsid w:val="00D93888"/>
    <w:rsid w:val="00D94C1E"/>
    <w:rsid w:val="00DB2B14"/>
    <w:rsid w:val="00DC1842"/>
    <w:rsid w:val="00DD5C61"/>
    <w:rsid w:val="00DF123B"/>
    <w:rsid w:val="00DF32DE"/>
    <w:rsid w:val="00E336B3"/>
    <w:rsid w:val="00E33AC1"/>
    <w:rsid w:val="00E369CE"/>
    <w:rsid w:val="00E42727"/>
    <w:rsid w:val="00E43D25"/>
    <w:rsid w:val="00E84985"/>
    <w:rsid w:val="00F34493"/>
    <w:rsid w:val="00F44C92"/>
    <w:rsid w:val="00F65130"/>
    <w:rsid w:val="00F70EE0"/>
    <w:rsid w:val="00F80EA5"/>
    <w:rsid w:val="00FA4C51"/>
    <w:rsid w:val="00FD0508"/>
    <w:rsid w:val="00FF1F0C"/>
    <w:rsid w:val="00FF4DFF"/>
    <w:rsid w:val="00FF518A"/>
    <w:rsid w:val="00FF58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B4DD1"/>
  <w15:docId w15:val="{1C80EFC7-9E45-4555-95AB-CC2BB98D4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A354C"/>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qFormat/>
    <w:rsid w:val="002A354C"/>
    <w:pPr>
      <w:autoSpaceDE w:val="0"/>
      <w:autoSpaceDN w:val="0"/>
      <w:adjustRightInd w:val="0"/>
      <w:spacing w:after="0" w:line="240" w:lineRule="auto"/>
    </w:pPr>
    <w:rPr>
      <w:rFonts w:ascii="Tahoma" w:eastAsia="Times New Roman" w:hAnsi="Tahoma" w:cs="Tahoma"/>
      <w:color w:val="000000"/>
      <w:sz w:val="24"/>
      <w:szCs w:val="24"/>
      <w:lang w:eastAsia="it-IT"/>
    </w:rPr>
  </w:style>
  <w:style w:type="paragraph" w:styleId="Paragrafoelenco">
    <w:name w:val="List Paragraph"/>
    <w:basedOn w:val="Normale"/>
    <w:uiPriority w:val="34"/>
    <w:qFormat/>
    <w:rsid w:val="002A354C"/>
    <w:pPr>
      <w:ind w:left="720"/>
      <w:contextualSpacing/>
    </w:pPr>
  </w:style>
  <w:style w:type="paragraph" w:styleId="Rientrocorpodeltesto">
    <w:name w:val="Body Text Indent"/>
    <w:basedOn w:val="Normale"/>
    <w:link w:val="RientrocorpodeltestoCarattere"/>
    <w:rsid w:val="002A354C"/>
    <w:pPr>
      <w:jc w:val="both"/>
    </w:pPr>
    <w:rPr>
      <w:snapToGrid w:val="0"/>
      <w:szCs w:val="20"/>
    </w:rPr>
  </w:style>
  <w:style w:type="character" w:customStyle="1" w:styleId="RientrocorpodeltestoCarattere">
    <w:name w:val="Rientro corpo del testo Carattere"/>
    <w:basedOn w:val="Carpredefinitoparagrafo"/>
    <w:link w:val="Rientrocorpodeltesto"/>
    <w:qFormat/>
    <w:rsid w:val="002A354C"/>
    <w:rPr>
      <w:rFonts w:ascii="Times New Roman" w:eastAsia="Times New Roman" w:hAnsi="Times New Roman" w:cs="Times New Roman"/>
      <w:snapToGrid w:val="0"/>
      <w:sz w:val="24"/>
      <w:szCs w:val="20"/>
      <w:lang w:eastAsia="it-IT"/>
    </w:rPr>
  </w:style>
  <w:style w:type="paragraph" w:styleId="NormaleWeb">
    <w:name w:val="Normal (Web)"/>
    <w:basedOn w:val="Normale"/>
    <w:uiPriority w:val="99"/>
    <w:rsid w:val="002A354C"/>
    <w:pPr>
      <w:suppressAutoHyphens/>
      <w:spacing w:before="120" w:after="120" w:line="300" w:lineRule="atLeast"/>
    </w:pPr>
    <w:rPr>
      <w:sz w:val="22"/>
      <w:szCs w:val="22"/>
      <w:lang w:eastAsia="ar-SA"/>
    </w:rPr>
  </w:style>
  <w:style w:type="character" w:styleId="Enfasigrassetto">
    <w:name w:val="Strong"/>
    <w:basedOn w:val="Carpredefinitoparagrafo"/>
    <w:uiPriority w:val="22"/>
    <w:qFormat/>
    <w:rsid w:val="002A354C"/>
    <w:rPr>
      <w:b/>
      <w:bCs/>
    </w:rPr>
  </w:style>
  <w:style w:type="paragraph" w:customStyle="1" w:styleId="Standard">
    <w:name w:val="Standard"/>
    <w:rsid w:val="00C86A2F"/>
    <w:pPr>
      <w:autoSpaceDN w:val="0"/>
      <w:textAlignment w:val="baseline"/>
    </w:pPr>
    <w:rPr>
      <w:rFonts w:ascii="Arial" w:eastAsia="Calibri" w:hAnsi="Arial" w:cs="Mangal"/>
      <w:bCs/>
      <w:kern w:val="3"/>
      <w:sz w:val="24"/>
      <w:szCs w:val="24"/>
    </w:rPr>
  </w:style>
  <w:style w:type="paragraph" w:styleId="Nessunaspaziatura">
    <w:name w:val="No Spacing"/>
    <w:uiPriority w:val="1"/>
    <w:qFormat/>
    <w:rsid w:val="002462FB"/>
    <w:pPr>
      <w:spacing w:after="0" w:line="240" w:lineRule="auto"/>
    </w:pPr>
    <w:rPr>
      <w:rFonts w:ascii="Times New Roman" w:eastAsiaTheme="minorEastAsia" w:hAnsi="Times New Roman" w:cs="Times New Roman"/>
      <w:sz w:val="24"/>
      <w:szCs w:val="24"/>
      <w:lang w:eastAsia="it-IT"/>
    </w:rPr>
  </w:style>
  <w:style w:type="paragraph" w:customStyle="1" w:styleId="Textbody">
    <w:name w:val="Text body"/>
    <w:basedOn w:val="Standard"/>
    <w:rsid w:val="00972F5C"/>
    <w:pPr>
      <w:widowControl w:val="0"/>
      <w:overflowPunct w:val="0"/>
      <w:spacing w:after="283" w:line="288" w:lineRule="auto"/>
    </w:pPr>
    <w:rPr>
      <w:rFonts w:ascii="Calibri" w:hAnsi="Calibri" w:cs="Calibri"/>
      <w:bCs w:val="0"/>
      <w:sz w:val="22"/>
      <w:szCs w:val="22"/>
      <w:lang w:eastAsia="it-IT"/>
    </w:rPr>
  </w:style>
  <w:style w:type="character" w:customStyle="1" w:styleId="Carpredefinitoparagrafo0">
    <w:name w:val="Car.predefinitoparagrafo"/>
    <w:rsid w:val="00972F5C"/>
  </w:style>
  <w:style w:type="paragraph" w:styleId="Intestazione">
    <w:name w:val="header"/>
    <w:basedOn w:val="Normale"/>
    <w:link w:val="IntestazioneCarattere"/>
    <w:unhideWhenUsed/>
    <w:rsid w:val="00C453A8"/>
    <w:pPr>
      <w:spacing w:before="100" w:beforeAutospacing="1" w:after="100" w:afterAutospacing="1"/>
    </w:pPr>
  </w:style>
  <w:style w:type="character" w:customStyle="1" w:styleId="IntestazioneCarattere">
    <w:name w:val="Intestazione Carattere"/>
    <w:basedOn w:val="Carpredefinitoparagrafo"/>
    <w:link w:val="Intestazione"/>
    <w:rsid w:val="00C453A8"/>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3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1260</Words>
  <Characters>7182</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Company>
  <LinksUpToDate>false</LinksUpToDate>
  <CharactersWithSpaces>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manfrlis</dc:creator>
  <cp:lastModifiedBy>Gamberini Elena</cp:lastModifiedBy>
  <cp:revision>3</cp:revision>
  <dcterms:created xsi:type="dcterms:W3CDTF">2021-03-18T10:23:00Z</dcterms:created>
  <dcterms:modified xsi:type="dcterms:W3CDTF">2021-03-18T10:24:00Z</dcterms:modified>
</cp:coreProperties>
</file>